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cs="华文中宋"/>
          <w:b/>
          <w:bCs/>
          <w:sz w:val="72"/>
          <w:szCs w:val="72"/>
        </w:rPr>
      </w:pPr>
      <w:bookmarkStart w:id="0" w:name="OLE_LINK35"/>
      <w:bookmarkStart w:id="1" w:name="OLE_LINK27"/>
    </w:p>
    <w:p>
      <w:pPr>
        <w:snapToGrid w:val="0"/>
        <w:jc w:val="center"/>
        <w:rPr>
          <w:rFonts w:hint="eastAsia" w:cs="华文中宋"/>
          <w:b/>
          <w:bCs/>
          <w:sz w:val="48"/>
          <w:szCs w:val="48"/>
          <w:lang w:eastAsia="zh-CN"/>
        </w:rPr>
      </w:pPr>
      <w:r>
        <w:rPr>
          <w:rFonts w:hint="eastAsia" w:cs="华文中宋"/>
          <w:b/>
          <w:bCs/>
          <w:sz w:val="48"/>
          <w:szCs w:val="48"/>
          <w:lang w:eastAsia="zh-CN"/>
        </w:rPr>
        <w:t>中山市</w:t>
      </w:r>
      <w:r>
        <w:rPr>
          <w:rFonts w:hint="eastAsia" w:cs="华文中宋"/>
          <w:b/>
          <w:bCs/>
          <w:sz w:val="48"/>
          <w:szCs w:val="48"/>
        </w:rPr>
        <w:t>坦洲镇污水处理</w:t>
      </w:r>
      <w:r>
        <w:rPr>
          <w:rFonts w:hint="eastAsia" w:cs="华文中宋"/>
          <w:b/>
          <w:bCs/>
          <w:sz w:val="48"/>
          <w:szCs w:val="48"/>
          <w:lang w:eastAsia="zh-CN"/>
        </w:rPr>
        <w:t>有限公司</w:t>
      </w:r>
    </w:p>
    <w:p>
      <w:pPr>
        <w:snapToGrid w:val="0"/>
        <w:jc w:val="center"/>
        <w:rPr>
          <w:rFonts w:cs="华文中宋"/>
          <w:b/>
          <w:bCs/>
          <w:sz w:val="48"/>
          <w:szCs w:val="48"/>
        </w:rPr>
      </w:pPr>
      <w:r>
        <w:rPr>
          <w:rFonts w:hint="eastAsia" w:cs="华文中宋"/>
          <w:b/>
          <w:bCs/>
          <w:sz w:val="48"/>
          <w:szCs w:val="48"/>
        </w:rPr>
        <w:t>消毒剂采购项目</w:t>
      </w:r>
    </w:p>
    <w:bookmarkEnd w:id="0"/>
    <w:p>
      <w:pPr>
        <w:snapToGrid w:val="0"/>
        <w:jc w:val="center"/>
        <w:rPr>
          <w:rFonts w:cs="华文中宋"/>
          <w:b/>
          <w:bCs/>
          <w:sz w:val="44"/>
          <w:szCs w:val="44"/>
        </w:rPr>
      </w:pPr>
    </w:p>
    <w:p>
      <w:pPr>
        <w:snapToGrid w:val="0"/>
        <w:jc w:val="center"/>
        <w:rPr>
          <w:b/>
          <w:bCs/>
          <w:sz w:val="48"/>
          <w:szCs w:val="48"/>
        </w:rPr>
      </w:pPr>
      <w:bookmarkStart w:id="2" w:name="OLE_LINK36"/>
      <w:r>
        <w:rPr>
          <w:rFonts w:hint="eastAsia" w:cs="华文中宋"/>
          <w:b/>
          <w:bCs/>
          <w:sz w:val="44"/>
          <w:szCs w:val="44"/>
        </w:rPr>
        <w:t>（项目编号：GDJX202004GK103）</w:t>
      </w:r>
    </w:p>
    <w:bookmarkEnd w:id="1"/>
    <w:bookmarkEnd w:id="2"/>
    <w:p>
      <w:pPr>
        <w:pStyle w:val="2"/>
        <w:rPr>
          <w:rFonts w:ascii="仿宋_GB2312" w:eastAsia="仿宋_GB2312"/>
          <w:b/>
          <w:sz w:val="32"/>
        </w:rPr>
      </w:pPr>
    </w:p>
    <w:p>
      <w:pPr>
        <w:pStyle w:val="2"/>
        <w:jc w:val="center"/>
        <w:rPr>
          <w:b/>
          <w:sz w:val="72"/>
          <w:szCs w:val="72"/>
        </w:rPr>
      </w:pPr>
      <w:bookmarkStart w:id="3" w:name="OLE_LINK26"/>
    </w:p>
    <w:p>
      <w:pPr>
        <w:pStyle w:val="2"/>
        <w:jc w:val="center"/>
        <w:rPr>
          <w:b/>
          <w:sz w:val="44"/>
          <w:szCs w:val="44"/>
        </w:rPr>
      </w:pPr>
      <w:r>
        <w:rPr>
          <w:rFonts w:hint="eastAsia"/>
          <w:b/>
          <w:sz w:val="72"/>
          <w:szCs w:val="72"/>
        </w:rPr>
        <w:t>招</w:t>
      </w:r>
      <w:bookmarkStart w:id="4" w:name="OLE_LINK37"/>
      <w:r>
        <w:rPr>
          <w:rFonts w:hint="eastAsia"/>
          <w:b/>
          <w:sz w:val="72"/>
          <w:szCs w:val="72"/>
        </w:rPr>
        <w:t>标文</w:t>
      </w:r>
      <w:bookmarkEnd w:id="4"/>
      <w:r>
        <w:rPr>
          <w:rFonts w:hint="eastAsia"/>
          <w:b/>
          <w:sz w:val="72"/>
          <w:szCs w:val="72"/>
        </w:rPr>
        <w:t>件</w:t>
      </w:r>
    </w:p>
    <w:bookmarkEnd w:id="3"/>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napToGrid w:val="0"/>
        <w:spacing w:line="360" w:lineRule="auto"/>
        <w:rPr>
          <w:rFonts w:ascii="黑体" w:hAnsi="华文中宋" w:eastAsia="黑体" w:cs="华文中宋"/>
          <w:sz w:val="30"/>
          <w:szCs w:val="30"/>
        </w:rPr>
      </w:pPr>
      <w:r>
        <w:rPr>
          <w:rFonts w:hint="eastAsia" w:ascii="黑体" w:hAnsi="华文中宋" w:eastAsia="黑体" w:cs="华文中宋"/>
          <w:sz w:val="30"/>
          <w:szCs w:val="30"/>
        </w:rPr>
        <w:t xml:space="preserve">             </w:t>
      </w:r>
    </w:p>
    <w:p>
      <w:pPr>
        <w:snapToGrid w:val="0"/>
        <w:spacing w:line="360" w:lineRule="auto"/>
        <w:rPr>
          <w:rFonts w:ascii="黑体" w:hAnsi="华文中宋" w:eastAsia="黑体" w:cs="华文中宋"/>
          <w:sz w:val="30"/>
          <w:szCs w:val="30"/>
        </w:rPr>
      </w:pPr>
    </w:p>
    <w:p>
      <w:pPr>
        <w:snapToGrid w:val="0"/>
        <w:spacing w:line="360" w:lineRule="auto"/>
        <w:rPr>
          <w:rFonts w:ascii="黑体" w:hAnsi="华文中宋" w:eastAsia="黑体" w:cs="华文中宋"/>
          <w:sz w:val="30"/>
          <w:szCs w:val="30"/>
        </w:rPr>
      </w:pPr>
    </w:p>
    <w:p>
      <w:pPr>
        <w:snapToGrid w:val="0"/>
        <w:spacing w:line="360" w:lineRule="auto"/>
        <w:rPr>
          <w:rFonts w:ascii="黑体" w:hAnsi="华文中宋" w:eastAsia="黑体" w:cs="华文中宋"/>
          <w:sz w:val="30"/>
          <w:szCs w:val="30"/>
        </w:rPr>
      </w:pPr>
    </w:p>
    <w:p>
      <w:pPr>
        <w:snapToGrid w:val="0"/>
        <w:spacing w:line="360" w:lineRule="auto"/>
        <w:rPr>
          <w:rFonts w:ascii="黑体" w:hAnsi="华文中宋" w:eastAsia="黑体" w:cs="华文中宋"/>
          <w:sz w:val="30"/>
          <w:szCs w:val="30"/>
        </w:rPr>
      </w:pPr>
    </w:p>
    <w:p>
      <w:pPr>
        <w:snapToGrid w:val="0"/>
        <w:spacing w:line="360" w:lineRule="auto"/>
        <w:rPr>
          <w:rFonts w:ascii="黑体" w:hAnsi="华文中宋" w:eastAsia="黑体" w:cs="华文中宋"/>
          <w:sz w:val="30"/>
          <w:szCs w:val="30"/>
        </w:rPr>
      </w:pPr>
      <w:r>
        <w:rPr>
          <w:rFonts w:hint="eastAsia" w:ascii="黑体" w:hAnsi="华文中宋" w:eastAsia="黑体" w:cs="华文中宋"/>
          <w:sz w:val="30"/>
          <w:szCs w:val="30"/>
        </w:rPr>
        <w:t xml:space="preserve">    招 标 单 位：</w:t>
      </w:r>
      <w:bookmarkStart w:id="5" w:name="OLE_LINK28"/>
      <w:r>
        <w:rPr>
          <w:rFonts w:hint="eastAsia" w:ascii="黑体" w:hAnsi="华文中宋" w:eastAsia="黑体" w:cs="华文中宋"/>
          <w:sz w:val="30"/>
          <w:szCs w:val="30"/>
        </w:rPr>
        <w:t xml:space="preserve">  </w:t>
      </w:r>
      <w:r>
        <w:rPr>
          <w:rFonts w:hint="eastAsia" w:ascii="黑体" w:hAnsi="华文中宋" w:eastAsia="黑体" w:cs="华文中宋"/>
          <w:sz w:val="30"/>
          <w:szCs w:val="30"/>
          <w:u w:val="single"/>
        </w:rPr>
        <w:t xml:space="preserve"> 中山市坦洲镇污水处理有限公司 </w:t>
      </w:r>
      <w:bookmarkEnd w:id="5"/>
    </w:p>
    <w:p>
      <w:pPr>
        <w:snapToGrid w:val="0"/>
        <w:spacing w:line="360" w:lineRule="auto"/>
        <w:rPr>
          <w:rFonts w:ascii="黑体" w:hAnsi="华文中宋" w:eastAsia="黑体" w:cs="华文中宋"/>
          <w:sz w:val="30"/>
          <w:szCs w:val="30"/>
        </w:rPr>
      </w:pPr>
      <w:r>
        <w:rPr>
          <w:rFonts w:hint="eastAsia" w:ascii="黑体" w:hAnsi="华文中宋" w:eastAsia="黑体" w:cs="华文中宋"/>
          <w:sz w:val="30"/>
          <w:szCs w:val="30"/>
        </w:rPr>
        <w:t xml:space="preserve">    监督/主管单位：</w:t>
      </w:r>
      <w:r>
        <w:rPr>
          <w:rFonts w:hint="eastAsia" w:ascii="黑体" w:hAnsi="华文中宋" w:eastAsia="黑体" w:cs="华文中宋"/>
          <w:sz w:val="30"/>
          <w:szCs w:val="30"/>
          <w:u w:val="single"/>
        </w:rPr>
        <w:t>中山市坦洲镇公有资产管理</w:t>
      </w:r>
      <w:r>
        <w:rPr>
          <w:rFonts w:hint="eastAsia" w:ascii="黑体" w:hAnsi="华文中宋" w:eastAsia="黑体" w:cs="华文中宋"/>
          <w:sz w:val="30"/>
          <w:szCs w:val="30"/>
          <w:u w:val="single"/>
          <w:lang w:eastAsia="zh-CN"/>
        </w:rPr>
        <w:t>领导小组</w:t>
      </w:r>
      <w:r>
        <w:rPr>
          <w:rFonts w:hint="eastAsia" w:ascii="黑体" w:hAnsi="华文中宋" w:eastAsia="黑体" w:cs="华文中宋"/>
          <w:sz w:val="30"/>
          <w:szCs w:val="30"/>
          <w:u w:val="single"/>
        </w:rPr>
        <w:t>办公室</w:t>
      </w:r>
    </w:p>
    <w:p>
      <w:pPr>
        <w:spacing w:line="360" w:lineRule="auto"/>
        <w:ind w:firstLine="600" w:firstLineChars="200"/>
        <w:rPr>
          <w:rFonts w:ascii="黑体" w:hAnsi="华文中宋" w:eastAsia="黑体" w:cs="华文中宋"/>
          <w:sz w:val="30"/>
          <w:szCs w:val="30"/>
        </w:rPr>
      </w:pPr>
      <w:bookmarkStart w:id="6" w:name="OLE_LINK29"/>
      <w:r>
        <w:rPr>
          <w:rFonts w:hint="eastAsia" w:ascii="黑体" w:hAnsi="华文中宋" w:eastAsia="黑体" w:cs="华文中宋"/>
          <w:sz w:val="30"/>
          <w:szCs w:val="30"/>
        </w:rPr>
        <w:t xml:space="preserve">招标代理机构： </w:t>
      </w:r>
      <w:r>
        <w:rPr>
          <w:rFonts w:hint="eastAsia" w:ascii="黑体" w:hAnsi="华文中宋" w:eastAsia="黑体" w:cs="华文中宋"/>
          <w:sz w:val="30"/>
          <w:szCs w:val="30"/>
          <w:u w:val="single"/>
        </w:rPr>
        <w:t xml:space="preserve"> </w:t>
      </w:r>
      <w:r>
        <w:rPr>
          <w:rFonts w:hint="eastAsia" w:ascii="黑体" w:hAnsi="华文中宋" w:eastAsia="黑体" w:cs="华文中宋"/>
          <w:sz w:val="30"/>
          <w:szCs w:val="30"/>
          <w:u w:val="single"/>
          <w:lang w:eastAsia="zh-CN"/>
        </w:rPr>
        <w:t>广东钧信建设管理有限公司中山分公司</w:t>
      </w:r>
    </w:p>
    <w:bookmarkEnd w:id="6"/>
    <w:p>
      <w:pPr>
        <w:ind w:firstLine="3750" w:firstLineChars="1250"/>
        <w:rPr>
          <w:b/>
          <w:bCs/>
          <w:sz w:val="30"/>
          <w:szCs w:val="30"/>
          <w:u w:val="single"/>
        </w:rPr>
      </w:pPr>
      <w:r>
        <w:rPr>
          <w:rFonts w:hint="eastAsia" w:ascii="黑体" w:hAnsi="华文中宋" w:eastAsia="黑体" w:cs="华文中宋"/>
          <w:sz w:val="30"/>
          <w:szCs w:val="30"/>
        </w:rPr>
        <w:t>20</w:t>
      </w:r>
      <w:r>
        <w:rPr>
          <w:rFonts w:hint="eastAsia" w:ascii="黑体" w:hAnsi="华文中宋" w:eastAsia="黑体" w:cs="华文中宋"/>
          <w:sz w:val="30"/>
          <w:szCs w:val="30"/>
          <w:lang w:val="en-US" w:eastAsia="zh-CN"/>
        </w:rPr>
        <w:t>20</w:t>
      </w:r>
      <w:r>
        <w:rPr>
          <w:rFonts w:ascii="黑体" w:hAnsi="华文中宋" w:eastAsia="黑体" w:cs="华文中宋"/>
          <w:sz w:val="30"/>
          <w:szCs w:val="30"/>
        </w:rPr>
        <w:t>年</w:t>
      </w:r>
      <w:r>
        <w:rPr>
          <w:rFonts w:hint="eastAsia" w:ascii="黑体" w:hAnsi="华文中宋" w:eastAsia="黑体" w:cs="华文中宋"/>
          <w:sz w:val="30"/>
          <w:szCs w:val="30"/>
          <w:lang w:val="en-US" w:eastAsia="zh-CN"/>
        </w:rPr>
        <w:t>4</w:t>
      </w:r>
      <w:r>
        <w:rPr>
          <w:rFonts w:ascii="黑体" w:hAnsi="华文中宋" w:eastAsia="黑体" w:cs="华文中宋"/>
          <w:sz w:val="30"/>
          <w:szCs w:val="30"/>
        </w:rPr>
        <w:t>月</w:t>
      </w:r>
    </w:p>
    <w:p>
      <w:pPr>
        <w:rPr>
          <w:b/>
          <w:bCs/>
          <w:sz w:val="30"/>
          <w:szCs w:val="30"/>
        </w:rPr>
      </w:pPr>
      <w:r>
        <w:rPr>
          <w:b/>
          <w:bCs/>
          <w:sz w:val="30"/>
          <w:szCs w:val="30"/>
        </w:rPr>
        <w:br w:type="page"/>
      </w:r>
    </w:p>
    <w:p>
      <w:pPr>
        <w:snapToGrid w:val="0"/>
        <w:spacing w:line="360" w:lineRule="auto"/>
        <w:jc w:val="center"/>
        <w:rPr>
          <w:rFonts w:hint="eastAsia" w:ascii="宋体" w:hAnsi="宋体" w:eastAsia="宋体" w:cs="宋体"/>
          <w:b/>
          <w:sz w:val="44"/>
          <w:szCs w:val="44"/>
          <w:highlight w:val="none"/>
        </w:rPr>
      </w:pPr>
      <w:bookmarkStart w:id="7" w:name="OLE_LINK33"/>
      <w:r>
        <w:rPr>
          <w:rFonts w:hint="eastAsia" w:ascii="宋体" w:hAnsi="宋体" w:eastAsia="宋体" w:cs="宋体"/>
          <w:b/>
          <w:sz w:val="44"/>
          <w:szCs w:val="44"/>
          <w:highlight w:val="none"/>
        </w:rPr>
        <w:t>阅前提示</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（本提示内容非招标文件的组成部分，仅为善意提醒。如有不一致，以招标文件为准）</w:t>
      </w:r>
    </w:p>
    <w:p>
      <w:pPr>
        <w:tabs>
          <w:tab w:val="left" w:pos="851"/>
        </w:tabs>
        <w:spacing w:line="360" w:lineRule="auto"/>
        <w:rPr>
          <w:rFonts w:hint="eastAsia" w:ascii="宋体" w:hAnsi="宋体" w:eastAsia="宋体" w:cs="宋体"/>
          <w:sz w:val="21"/>
          <w:szCs w:val="21"/>
          <w:highlight w:val="none"/>
        </w:rPr>
      </w:pPr>
    </w:p>
    <w:p>
      <w:pPr>
        <w:tabs>
          <w:tab w:val="left" w:pos="851"/>
        </w:tabs>
        <w:spacing w:line="360" w:lineRule="auto"/>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一、如无另行说明，投标文件递交时间为投标截止时间前30分钟内。</w:t>
      </w:r>
    </w:p>
    <w:p>
      <w:pPr>
        <w:tabs>
          <w:tab w:val="left" w:pos="851"/>
        </w:tabs>
        <w:spacing w:line="360" w:lineRule="auto"/>
        <w:rPr>
          <w:rFonts w:hint="eastAsia" w:ascii="宋体" w:hAnsi="宋体" w:eastAsia="宋体" w:cs="宋体"/>
          <w:color w:val="000000"/>
          <w:sz w:val="21"/>
          <w:szCs w:val="21"/>
          <w:highlight w:val="none"/>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二、为避免因迟到而</w:t>
      </w:r>
      <w:r>
        <w:rPr>
          <w:rFonts w:hint="eastAsia" w:ascii="宋体" w:hAnsi="宋体" w:eastAsia="宋体" w:cs="宋体"/>
          <w:color w:val="000000"/>
          <w:sz w:val="21"/>
          <w:szCs w:val="21"/>
          <w:highlight w:val="none"/>
        </w:rPr>
        <w:t>失去投标资格，请适当提前到达。</w:t>
      </w:r>
    </w:p>
    <w:p>
      <w:pPr>
        <w:tabs>
          <w:tab w:val="left" w:pos="851"/>
        </w:tabs>
        <w:spacing w:line="360" w:lineRule="auto"/>
        <w:rPr>
          <w:rFonts w:hint="eastAsia" w:ascii="宋体" w:hAnsi="宋体" w:eastAsia="宋体" w:cs="宋体"/>
          <w:color w:val="000000"/>
          <w:sz w:val="21"/>
          <w:szCs w:val="21"/>
          <w:highlight w:val="none"/>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三、投标保证金</w:t>
      </w:r>
      <w:r>
        <w:rPr>
          <w:rFonts w:hint="eastAsia" w:ascii="宋体" w:hAnsi="宋体" w:eastAsia="宋体" w:cs="宋体"/>
          <w:color w:val="000000"/>
          <w:sz w:val="21"/>
          <w:szCs w:val="21"/>
          <w:highlight w:val="none"/>
        </w:rPr>
        <w:t>必须于</w:t>
      </w:r>
      <w:bookmarkStart w:id="8" w:name="OLE_LINK30"/>
      <w:r>
        <w:rPr>
          <w:rFonts w:hint="eastAsia" w:hAnsi="宋体" w:eastAsia="宋体" w:cs="宋体"/>
          <w:color w:val="000000"/>
          <w:sz w:val="21"/>
          <w:szCs w:val="21"/>
          <w:highlight w:val="none"/>
          <w:lang w:eastAsia="zh-CN"/>
        </w:rPr>
        <w:t>按照招标文件</w:t>
      </w:r>
      <w:r>
        <w:rPr>
          <w:rFonts w:hint="eastAsia" w:ascii="宋体" w:hAnsi="宋体" w:eastAsia="宋体" w:cs="宋体"/>
          <w:color w:val="000000"/>
          <w:sz w:val="21"/>
          <w:szCs w:val="21"/>
          <w:highlight w:val="none"/>
        </w:rPr>
        <w:t>递交截止</w:t>
      </w:r>
      <w:bookmarkEnd w:id="8"/>
      <w:r>
        <w:rPr>
          <w:rFonts w:hint="eastAsia" w:ascii="宋体" w:hAnsi="宋体" w:eastAsia="宋体" w:cs="宋体"/>
          <w:color w:val="000000"/>
          <w:sz w:val="21"/>
          <w:szCs w:val="21"/>
          <w:highlight w:val="none"/>
        </w:rPr>
        <w:t>时间前到达</w:t>
      </w:r>
      <w:r>
        <w:rPr>
          <w:rFonts w:hint="eastAsia" w:ascii="宋体" w:hAnsi="宋体" w:eastAsia="宋体" w:cs="宋体"/>
          <w:kern w:val="28"/>
          <w:sz w:val="21"/>
          <w:szCs w:val="21"/>
          <w:highlight w:val="none"/>
        </w:rPr>
        <w:t>中山市公共资源交易中心</w:t>
      </w:r>
      <w:r>
        <w:rPr>
          <w:rFonts w:hint="eastAsia" w:ascii="宋体" w:hAnsi="宋体" w:eastAsia="宋体" w:cs="宋体"/>
          <w:color w:val="000000"/>
          <w:sz w:val="21"/>
          <w:szCs w:val="21"/>
          <w:highlight w:val="none"/>
        </w:rPr>
        <w:t>账户</w:t>
      </w:r>
    </w:p>
    <w:p>
      <w:pPr>
        <w:tabs>
          <w:tab w:val="left" w:pos="851"/>
        </w:tabs>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b/>
          <w:bCs/>
          <w:color w:val="000000"/>
          <w:sz w:val="21"/>
          <w:szCs w:val="21"/>
          <w:highlight w:val="none"/>
        </w:rPr>
        <w:t>开户行及账号</w:t>
      </w:r>
      <w:r>
        <w:rPr>
          <w:rFonts w:hint="eastAsia" w:hAnsi="宋体" w:eastAsia="宋体" w:cs="宋体"/>
          <w:b/>
          <w:bCs/>
          <w:color w:val="000000"/>
          <w:sz w:val="21"/>
          <w:szCs w:val="21"/>
          <w:highlight w:val="none"/>
          <w:lang w:eastAsia="zh-CN"/>
        </w:rPr>
        <w:t>由供应商</w:t>
      </w:r>
      <w:r>
        <w:rPr>
          <w:rFonts w:hint="eastAsia" w:hAnsi="宋体" w:eastAsia="宋体" w:cs="宋体"/>
          <w:b/>
          <w:bCs/>
          <w:color w:val="000000"/>
          <w:sz w:val="21"/>
          <w:szCs w:val="21"/>
          <w:highlight w:val="none"/>
          <w:lang w:val="en-US" w:eastAsia="zh-CN"/>
        </w:rPr>
        <w:t>/投标人自行登录综合交易系统领取</w:t>
      </w:r>
      <w:r>
        <w:rPr>
          <w:rFonts w:hint="eastAsia" w:ascii="宋体" w:hAnsi="宋体" w:eastAsia="宋体" w:cs="宋体"/>
          <w:color w:val="000000"/>
          <w:sz w:val="21"/>
          <w:szCs w:val="21"/>
          <w:highlight w:val="none"/>
        </w:rPr>
        <w:t>）。由于转账当天不一定能够到账，为避免因</w:t>
      </w:r>
      <w:r>
        <w:rPr>
          <w:rFonts w:hint="eastAsia" w:ascii="宋体" w:hAnsi="宋体" w:eastAsia="宋体" w:cs="宋体"/>
          <w:sz w:val="21"/>
          <w:szCs w:val="21"/>
          <w:highlight w:val="none"/>
        </w:rPr>
        <w:t>投标保证金</w:t>
      </w:r>
      <w:r>
        <w:rPr>
          <w:rFonts w:hint="eastAsia" w:ascii="宋体" w:hAnsi="宋体" w:eastAsia="宋体" w:cs="宋体"/>
          <w:color w:val="000000"/>
          <w:sz w:val="21"/>
          <w:szCs w:val="21"/>
          <w:highlight w:val="none"/>
        </w:rPr>
        <w:t>未到账而导致投标被拒绝，建议至少提前2个工作日</w:t>
      </w:r>
      <w:r>
        <w:rPr>
          <w:rFonts w:hint="eastAsia" w:ascii="宋体" w:hAnsi="宋体" w:eastAsia="宋体" w:cs="宋体"/>
          <w:sz w:val="21"/>
          <w:szCs w:val="21"/>
          <w:highlight w:val="none"/>
        </w:rPr>
        <w:t>转账。</w:t>
      </w:r>
    </w:p>
    <w:p>
      <w:pPr>
        <w:tabs>
          <w:tab w:val="left" w:pos="851"/>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四、请仔细检查投标文件是否已按要求签名、盖章、签署日期。</w:t>
      </w:r>
    </w:p>
    <w:p>
      <w:pPr>
        <w:tabs>
          <w:tab w:val="left" w:pos="851"/>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五、投标文件应按顺序编制页码。</w:t>
      </w:r>
    </w:p>
    <w:p>
      <w:pPr>
        <w:tabs>
          <w:tab w:val="left" w:pos="851"/>
        </w:tabs>
        <w:spacing w:line="360" w:lineRule="auto"/>
        <w:rPr>
          <w:rFonts w:hint="eastAsia" w:ascii="宋体" w:hAnsi="宋体" w:eastAsia="宋体" w:cs="宋体"/>
          <w:b/>
          <w:bCs/>
          <w:sz w:val="21"/>
          <w:szCs w:val="21"/>
          <w:highlight w:val="none"/>
        </w:rPr>
      </w:pPr>
      <w:r>
        <w:rPr>
          <w:rFonts w:hint="eastAsia" w:ascii="宋体" w:hAnsi="宋体" w:eastAsia="宋体" w:cs="宋体"/>
          <w:sz w:val="21"/>
          <w:szCs w:val="21"/>
          <w:highlight w:val="none"/>
        </w:rPr>
        <w:t xml:space="preserve"> </w:t>
      </w:r>
      <w:r>
        <w:rPr>
          <w:rFonts w:hint="eastAsia" w:hAnsi="宋体" w:cs="宋体"/>
          <w:sz w:val="21"/>
          <w:szCs w:val="21"/>
          <w:highlight w:val="none"/>
          <w:lang w:eastAsia="zh-CN"/>
        </w:rPr>
        <w:t>六</w:t>
      </w:r>
      <w:r>
        <w:rPr>
          <w:rFonts w:hint="eastAsia" w:ascii="宋体" w:hAnsi="宋体" w:eastAsia="宋体" w:cs="宋体"/>
          <w:sz w:val="21"/>
          <w:szCs w:val="21"/>
          <w:highlight w:val="none"/>
        </w:rPr>
        <w:t>、建议</w:t>
      </w:r>
      <w:r>
        <w:rPr>
          <w:rFonts w:hint="eastAsia" w:hAnsi="宋体" w:eastAsia="宋体" w:cs="宋体"/>
          <w:sz w:val="21"/>
          <w:szCs w:val="21"/>
          <w:highlight w:val="none"/>
          <w:lang w:eastAsia="zh-CN"/>
        </w:rPr>
        <w:t>供应商</w:t>
      </w:r>
      <w:r>
        <w:rPr>
          <w:rFonts w:hint="eastAsia" w:hAnsi="宋体" w:eastAsia="宋体" w:cs="宋体"/>
          <w:sz w:val="21"/>
          <w:szCs w:val="21"/>
          <w:highlight w:val="none"/>
          <w:lang w:val="en-US" w:eastAsia="zh-CN"/>
        </w:rPr>
        <w:t>/</w:t>
      </w:r>
      <w:r>
        <w:rPr>
          <w:rFonts w:hint="eastAsia" w:ascii="宋体" w:hAnsi="宋体" w:eastAsia="宋体" w:cs="宋体"/>
          <w:sz w:val="21"/>
          <w:szCs w:val="21"/>
          <w:highlight w:val="none"/>
        </w:rPr>
        <w:t>投标人在</w:t>
      </w:r>
      <w:r>
        <w:rPr>
          <w:rFonts w:hint="eastAsia" w:hAnsi="宋体" w:cs="宋体"/>
          <w:sz w:val="21"/>
          <w:szCs w:val="21"/>
          <w:highlight w:val="none"/>
          <w:lang w:eastAsia="zh-CN"/>
        </w:rPr>
        <w:t>获取招标文件</w:t>
      </w:r>
      <w:r>
        <w:rPr>
          <w:rFonts w:hint="eastAsia" w:ascii="宋体" w:hAnsi="宋体" w:eastAsia="宋体" w:cs="宋体"/>
          <w:sz w:val="21"/>
          <w:szCs w:val="21"/>
          <w:highlight w:val="none"/>
        </w:rPr>
        <w:t xml:space="preserve">前登录中山市公共资源交易网（网址：      </w:t>
      </w:r>
      <w:r>
        <w:rPr>
          <w:rFonts w:hint="eastAsia" w:hAnsi="宋体"/>
          <w:b/>
          <w:bCs/>
          <w:color w:val="auto"/>
          <w:sz w:val="21"/>
          <w:szCs w:val="21"/>
          <w:highlight w:val="none"/>
        </w:rPr>
        <w:t>http://ggzyjy.zs.gov.cn/</w:t>
      </w:r>
      <w:r>
        <w:rPr>
          <w:rFonts w:hint="eastAsia" w:ascii="宋体" w:hAnsi="宋体" w:eastAsia="宋体" w:cs="宋体"/>
          <w:sz w:val="21"/>
          <w:szCs w:val="21"/>
          <w:highlight w:val="none"/>
        </w:rPr>
        <w:t>）进行用户注册登记，便于顺利完成获取招标文件。</w:t>
      </w:r>
    </w:p>
    <w:p>
      <w:pPr>
        <w:tabs>
          <w:tab w:val="left" w:pos="851"/>
        </w:tabs>
        <w:spacing w:line="460" w:lineRule="exact"/>
        <w:ind w:firstLine="420" w:firstLineChars="200"/>
        <w:rPr>
          <w:b/>
          <w:bCs/>
          <w:szCs w:val="21"/>
        </w:rPr>
      </w:pPr>
      <w:r>
        <w:rPr>
          <w:rFonts w:hint="eastAsia" w:hAnsi="宋体" w:cs="宋体"/>
          <w:sz w:val="21"/>
          <w:szCs w:val="21"/>
          <w:highlight w:val="none"/>
          <w:lang w:val="en-US" w:eastAsia="zh-CN"/>
        </w:rPr>
        <w:t xml:space="preserve"> </w:t>
      </w:r>
      <w:r>
        <w:rPr>
          <w:rFonts w:hint="eastAsia" w:ascii="宋体" w:hAnsi="宋体" w:eastAsia="宋体" w:cs="宋体"/>
          <w:sz w:val="21"/>
          <w:szCs w:val="21"/>
          <w:highlight w:val="none"/>
          <w:lang w:eastAsia="zh-CN"/>
        </w:rPr>
        <w:t>七、招标文件（含有关附件）统一在中山市公共资源电子招投标交易平台发售，潜在投标人在招标文件发售期通过数字证书登录交易平台实名下载获取完整的招标文件（含有关附件）即视为招标文件已发售给投标人。</w:t>
      </w:r>
    </w:p>
    <w:bookmarkEnd w:id="7"/>
    <w:p>
      <w:pPr>
        <w:tabs>
          <w:tab w:val="left" w:pos="709"/>
        </w:tabs>
        <w:spacing w:line="360" w:lineRule="auto"/>
        <w:ind w:left="420" w:hanging="420" w:hangingChars="200"/>
        <w:rPr>
          <w:szCs w:val="21"/>
        </w:rPr>
      </w:pPr>
    </w:p>
    <w:p>
      <w:pPr>
        <w:tabs>
          <w:tab w:val="left" w:pos="1190"/>
        </w:tabs>
        <w:spacing w:line="360" w:lineRule="auto"/>
        <w:ind w:left="1176"/>
        <w:rPr>
          <w:rStyle w:val="56"/>
          <w:b/>
          <w:szCs w:val="28"/>
        </w:rPr>
      </w:pPr>
      <w:r>
        <w:rPr>
          <w:szCs w:val="21"/>
        </w:rPr>
        <w:br w:type="page"/>
      </w:r>
    </w:p>
    <w:p>
      <w:pPr>
        <w:rPr>
          <w:b/>
          <w:bCs/>
          <w:sz w:val="30"/>
          <w:szCs w:val="30"/>
        </w:rPr>
      </w:pPr>
    </w:p>
    <w:p>
      <w:pPr>
        <w:jc w:val="center"/>
        <w:rPr>
          <w:rFonts w:eastAsia="楷体_GB2312"/>
          <w:b/>
          <w:spacing w:val="200"/>
          <w:sz w:val="44"/>
          <w:szCs w:val="44"/>
        </w:rPr>
      </w:pPr>
      <w:r>
        <w:rPr>
          <w:rFonts w:eastAsia="楷体_GB2312"/>
          <w:b/>
          <w:spacing w:val="200"/>
          <w:sz w:val="44"/>
          <w:szCs w:val="44"/>
        </w:rPr>
        <w:t>目  录</w:t>
      </w:r>
    </w:p>
    <w:p>
      <w:pPr>
        <w:jc w:val="center"/>
        <w:rPr>
          <w:rFonts w:eastAsia="楷体_GB2312"/>
          <w:b/>
          <w:spacing w:val="200"/>
          <w:sz w:val="44"/>
          <w:szCs w:val="44"/>
        </w:rPr>
      </w:pPr>
    </w:p>
    <w:p>
      <w:pPr>
        <w:pStyle w:val="30"/>
        <w:tabs>
          <w:tab w:val="right" w:leader="dot" w:pos="9537"/>
          <w:tab w:val="clear" w:pos="9499"/>
        </w:tabs>
        <w:rPr>
          <w:rFonts w:ascii="Times New Roman" w:hAnsi="Times New Roman"/>
          <w:color w:val="auto"/>
        </w:rPr>
      </w:pPr>
      <w:bookmarkStart w:id="9" w:name="_Toc527295591"/>
      <w:r>
        <w:rPr>
          <w:rFonts w:ascii="Times New Roman" w:hAnsi="Times New Roman"/>
          <w:color w:val="auto"/>
        </w:rPr>
        <w:fldChar w:fldCharType="begin"/>
      </w:r>
      <w:r>
        <w:rPr>
          <w:rFonts w:ascii="Times New Roman" w:hAnsi="Times New Roman"/>
          <w:color w:val="auto"/>
        </w:rPr>
        <w:instrText xml:space="preserve"> TOC \h \z \t "标题 1,2,标题 2,3,标题 3,5,标题 3 + 宋体,4,标题1,1" </w:instrText>
      </w:r>
      <w:r>
        <w:rPr>
          <w:rFonts w:ascii="Times New Roman" w:hAnsi="Times New Roman"/>
          <w:color w:val="auto"/>
        </w:rPr>
        <w:fldChar w:fldCharType="separate"/>
      </w:r>
      <w:r>
        <w:fldChar w:fldCharType="begin"/>
      </w:r>
      <w:r>
        <w:instrText xml:space="preserve"> HYPERLINK \l "_Toc23788" </w:instrText>
      </w:r>
      <w:r>
        <w:fldChar w:fldCharType="separate"/>
      </w:r>
      <w:r>
        <w:rPr>
          <w:rFonts w:ascii="Times New Roman" w:hAnsi="Times New Roman"/>
          <w:color w:val="auto"/>
        </w:rPr>
        <w:t>第一部分   投 标 邀 请 函</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_Toc23788 </w:instrText>
      </w:r>
      <w:r>
        <w:rPr>
          <w:rFonts w:ascii="Times New Roman" w:hAnsi="Times New Roman"/>
          <w:color w:val="auto"/>
        </w:rPr>
        <w:fldChar w:fldCharType="separate"/>
      </w:r>
      <w:r>
        <w:rPr>
          <w:rFonts w:ascii="Times New Roman" w:hAnsi="Times New Roman"/>
          <w:color w:val="auto"/>
        </w:rPr>
        <w:t>4</w:t>
      </w:r>
      <w:r>
        <w:rPr>
          <w:rFonts w:ascii="Times New Roman" w:hAnsi="Times New Roman"/>
          <w:color w:val="auto"/>
        </w:rPr>
        <w:fldChar w:fldCharType="end"/>
      </w:r>
      <w:r>
        <w:rPr>
          <w:rFonts w:ascii="Times New Roman" w:hAnsi="Times New Roman"/>
          <w:color w:val="auto"/>
        </w:rPr>
        <w:fldChar w:fldCharType="end"/>
      </w:r>
    </w:p>
    <w:p>
      <w:pPr>
        <w:pStyle w:val="30"/>
        <w:tabs>
          <w:tab w:val="right" w:leader="dot" w:pos="9537"/>
          <w:tab w:val="clear" w:pos="9499"/>
        </w:tabs>
        <w:rPr>
          <w:rFonts w:ascii="Times New Roman" w:hAnsi="Times New Roman"/>
          <w:color w:val="auto"/>
        </w:rPr>
      </w:pPr>
      <w:r>
        <w:fldChar w:fldCharType="begin"/>
      </w:r>
      <w:r>
        <w:instrText xml:space="preserve"> HYPERLINK \l "_Toc9244" </w:instrText>
      </w:r>
      <w:r>
        <w:fldChar w:fldCharType="separate"/>
      </w:r>
      <w:r>
        <w:rPr>
          <w:rFonts w:ascii="Times New Roman" w:hAnsi="Times New Roman"/>
          <w:color w:val="auto"/>
        </w:rPr>
        <w:t>第二部分   用 户 需 求 书</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_Toc9244 </w:instrText>
      </w:r>
      <w:r>
        <w:rPr>
          <w:rFonts w:ascii="Times New Roman" w:hAnsi="Times New Roman"/>
          <w:color w:val="auto"/>
        </w:rPr>
        <w:fldChar w:fldCharType="separate"/>
      </w:r>
      <w:r>
        <w:rPr>
          <w:rFonts w:ascii="Times New Roman" w:hAnsi="Times New Roman"/>
          <w:color w:val="auto"/>
        </w:rPr>
        <w:t>8</w:t>
      </w:r>
      <w:r>
        <w:rPr>
          <w:rFonts w:ascii="Times New Roman" w:hAnsi="Times New Roman"/>
          <w:color w:val="auto"/>
        </w:rPr>
        <w:fldChar w:fldCharType="end"/>
      </w:r>
      <w:r>
        <w:rPr>
          <w:rFonts w:ascii="Times New Roman" w:hAnsi="Times New Roman"/>
          <w:color w:val="auto"/>
        </w:rPr>
        <w:fldChar w:fldCharType="end"/>
      </w:r>
    </w:p>
    <w:p>
      <w:pPr>
        <w:pStyle w:val="30"/>
        <w:tabs>
          <w:tab w:val="right" w:leader="dot" w:pos="9537"/>
          <w:tab w:val="clear" w:pos="9499"/>
        </w:tabs>
        <w:rPr>
          <w:rFonts w:ascii="Times New Roman" w:hAnsi="Times New Roman"/>
          <w:color w:val="auto"/>
        </w:rPr>
      </w:pPr>
      <w:r>
        <w:fldChar w:fldCharType="begin"/>
      </w:r>
      <w:r>
        <w:instrText xml:space="preserve"> HYPERLINK \l "_Toc20498" </w:instrText>
      </w:r>
      <w:r>
        <w:fldChar w:fldCharType="separate"/>
      </w:r>
      <w:r>
        <w:rPr>
          <w:rFonts w:ascii="Times New Roman" w:hAnsi="Times New Roman"/>
          <w:color w:val="auto"/>
        </w:rPr>
        <w:t>第三部分   投 标 人 须 知</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_Toc20498 </w:instrText>
      </w:r>
      <w:r>
        <w:rPr>
          <w:rFonts w:ascii="Times New Roman" w:hAnsi="Times New Roman"/>
          <w:color w:val="auto"/>
        </w:rPr>
        <w:fldChar w:fldCharType="separate"/>
      </w:r>
      <w:r>
        <w:rPr>
          <w:rFonts w:ascii="Times New Roman" w:hAnsi="Times New Roman"/>
          <w:color w:val="auto"/>
        </w:rPr>
        <w:t>13</w:t>
      </w:r>
      <w:r>
        <w:rPr>
          <w:rFonts w:ascii="Times New Roman" w:hAnsi="Times New Roman"/>
          <w:color w:val="auto"/>
        </w:rPr>
        <w:fldChar w:fldCharType="end"/>
      </w:r>
      <w:r>
        <w:rPr>
          <w:rFonts w:ascii="Times New Roman" w:hAnsi="Times New Roman"/>
          <w:color w:val="auto"/>
        </w:rPr>
        <w:fldChar w:fldCharType="end"/>
      </w:r>
    </w:p>
    <w:p>
      <w:pPr>
        <w:pStyle w:val="30"/>
        <w:tabs>
          <w:tab w:val="right" w:leader="dot" w:pos="9537"/>
          <w:tab w:val="clear" w:pos="9499"/>
        </w:tabs>
        <w:rPr>
          <w:rFonts w:ascii="Times New Roman" w:hAnsi="Times New Roman"/>
          <w:color w:val="auto"/>
        </w:rPr>
      </w:pPr>
      <w:r>
        <w:fldChar w:fldCharType="begin"/>
      </w:r>
      <w:r>
        <w:instrText xml:space="preserve"> HYPERLINK \l "_Toc7485" </w:instrText>
      </w:r>
      <w:r>
        <w:fldChar w:fldCharType="separate"/>
      </w:r>
      <w:r>
        <w:rPr>
          <w:rFonts w:ascii="Times New Roman" w:hAnsi="Times New Roman"/>
          <w:color w:val="auto"/>
        </w:rPr>
        <w:t>第四部分   合 同 书 格 式</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_Toc7485 </w:instrText>
      </w:r>
      <w:r>
        <w:rPr>
          <w:rFonts w:ascii="Times New Roman" w:hAnsi="Times New Roman"/>
          <w:color w:val="auto"/>
        </w:rPr>
        <w:fldChar w:fldCharType="separate"/>
      </w:r>
      <w:r>
        <w:rPr>
          <w:rFonts w:ascii="Times New Roman" w:hAnsi="Times New Roman"/>
          <w:color w:val="auto"/>
        </w:rPr>
        <w:t>30</w:t>
      </w:r>
      <w:r>
        <w:rPr>
          <w:rFonts w:ascii="Times New Roman" w:hAnsi="Times New Roman"/>
          <w:color w:val="auto"/>
        </w:rPr>
        <w:fldChar w:fldCharType="end"/>
      </w:r>
      <w:r>
        <w:rPr>
          <w:rFonts w:ascii="Times New Roman" w:hAnsi="Times New Roman"/>
          <w:color w:val="auto"/>
        </w:rPr>
        <w:fldChar w:fldCharType="end"/>
      </w:r>
    </w:p>
    <w:p>
      <w:pPr>
        <w:pStyle w:val="30"/>
        <w:tabs>
          <w:tab w:val="right" w:leader="dot" w:pos="9537"/>
          <w:tab w:val="clear" w:pos="9499"/>
        </w:tabs>
        <w:rPr>
          <w:rFonts w:hint="eastAsia" w:ascii="Times New Roman" w:hAnsi="Times New Roman" w:eastAsia="宋体"/>
          <w:color w:val="auto"/>
          <w:lang w:val="en-US" w:eastAsia="zh-CN"/>
        </w:rPr>
      </w:pPr>
      <w:r>
        <w:fldChar w:fldCharType="begin"/>
      </w:r>
      <w:r>
        <w:instrText xml:space="preserve"> HYPERLINK \l "_Toc32154" </w:instrText>
      </w:r>
      <w:r>
        <w:fldChar w:fldCharType="separate"/>
      </w:r>
      <w:r>
        <w:rPr>
          <w:rFonts w:ascii="Times New Roman" w:hAnsi="Times New Roman"/>
          <w:color w:val="auto"/>
        </w:rPr>
        <w:t>第五部分   投标文件格式</w:t>
      </w:r>
      <w:r>
        <w:rPr>
          <w:rFonts w:ascii="Times New Roman" w:hAnsi="Times New Roman"/>
          <w:color w:val="auto"/>
        </w:rPr>
        <w:tab/>
      </w:r>
      <w:r>
        <w:rPr>
          <w:rFonts w:hint="eastAsia" w:ascii="Times New Roman" w:hAnsi="Times New Roman"/>
          <w:color w:val="auto"/>
          <w:lang w:val="en-US" w:eastAsia="zh-CN"/>
        </w:rPr>
        <w:t>3</w:t>
      </w:r>
      <w:r>
        <w:rPr>
          <w:rFonts w:ascii="Times New Roman" w:hAnsi="Times New Roman"/>
          <w:color w:val="auto"/>
        </w:rPr>
        <w:fldChar w:fldCharType="end"/>
      </w:r>
      <w:r>
        <w:rPr>
          <w:rFonts w:hint="eastAsia" w:ascii="Times New Roman" w:hAnsi="Times New Roman"/>
          <w:color w:val="auto"/>
          <w:lang w:val="en-US" w:eastAsia="zh-CN"/>
        </w:rPr>
        <w:t>7</w:t>
      </w:r>
    </w:p>
    <w:p>
      <w:pPr>
        <w:pStyle w:val="30"/>
        <w:tabs>
          <w:tab w:val="right" w:leader="dot" w:pos="9537"/>
          <w:tab w:val="clear" w:pos="9499"/>
        </w:tabs>
        <w:rPr>
          <w:rFonts w:ascii="Times New Roman" w:hAnsi="Times New Roman"/>
          <w:color w:val="auto"/>
        </w:rPr>
      </w:pPr>
      <w:r>
        <w:rPr>
          <w:rFonts w:ascii="Times New Roman" w:hAnsi="Times New Roman"/>
          <w:color w:val="auto"/>
        </w:rPr>
        <w:t xml:space="preserve">           </w:t>
      </w:r>
      <w:r>
        <w:fldChar w:fldCharType="begin"/>
      </w:r>
      <w:r>
        <w:instrText xml:space="preserve"> HYPERLINK \l "_Toc13837" </w:instrText>
      </w:r>
      <w:r>
        <w:fldChar w:fldCharType="separate"/>
      </w:r>
      <w:r>
        <w:rPr>
          <w:rFonts w:ascii="Times New Roman" w:hAnsi="Times New Roman"/>
          <w:color w:val="auto"/>
        </w:rPr>
        <w:t xml:space="preserve">商 务 </w:t>
      </w:r>
      <w:r>
        <w:rPr>
          <w:rFonts w:hint="eastAsia" w:ascii="Times New Roman" w:hAnsi="Times New Roman"/>
          <w:color w:val="auto"/>
        </w:rPr>
        <w:t>技术</w:t>
      </w:r>
      <w:r>
        <w:rPr>
          <w:rFonts w:ascii="Times New Roman" w:hAnsi="Times New Roman"/>
          <w:color w:val="auto"/>
        </w:rPr>
        <w:t>篇</w:t>
      </w:r>
      <w:r>
        <w:rPr>
          <w:rFonts w:ascii="Times New Roman" w:hAnsi="Times New Roman"/>
          <w:color w:val="auto"/>
        </w:rPr>
        <w:tab/>
      </w:r>
      <w:r>
        <w:rPr>
          <w:rFonts w:ascii="Times New Roman" w:hAnsi="Times New Roman"/>
          <w:color w:val="auto"/>
        </w:rPr>
        <w:fldChar w:fldCharType="end"/>
      </w:r>
      <w:r>
        <w:rPr>
          <w:rFonts w:ascii="Times New Roman" w:hAnsi="Times New Roman"/>
          <w:color w:val="auto"/>
        </w:rPr>
        <w:t xml:space="preserve">          </w:t>
      </w:r>
    </w:p>
    <w:p>
      <w:pPr>
        <w:pStyle w:val="22"/>
        <w:spacing w:line="360" w:lineRule="exact"/>
        <w:ind w:left="210" w:leftChars="50" w:right="105" w:rightChars="50"/>
        <w:rPr>
          <w:rFonts w:eastAsia="仿宋_GB2312"/>
          <w:szCs w:val="21"/>
        </w:rPr>
      </w:pPr>
      <w:r>
        <w:rPr>
          <w:szCs w:val="21"/>
        </w:rPr>
        <w:fldChar w:fldCharType="end"/>
      </w:r>
      <w:bookmarkEnd w:id="9"/>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bookmarkStart w:id="10" w:name="_Toc23788"/>
    </w:p>
    <w:p>
      <w:pPr>
        <w:pStyle w:val="99"/>
        <w:rPr>
          <w:rFonts w:ascii="Times New Roman"/>
        </w:rPr>
      </w:pPr>
    </w:p>
    <w:p>
      <w:pPr>
        <w:pStyle w:val="99"/>
        <w:rPr>
          <w:rFonts w:ascii="Times New Roman"/>
        </w:rPr>
      </w:pPr>
      <w:r>
        <w:rPr>
          <w:rFonts w:ascii="Times New Roman"/>
        </w:rPr>
        <w:t>第一部分   投 标 邀 请 函</w:t>
      </w:r>
      <w:bookmarkEnd w:id="10"/>
    </w:p>
    <w:p>
      <w:pPr>
        <w:adjustRightInd w:val="0"/>
        <w:snapToGrid w:val="0"/>
        <w:spacing w:line="360" w:lineRule="auto"/>
        <w:jc w:val="center"/>
        <w:rPr>
          <w:b/>
          <w:kern w:val="28"/>
          <w:szCs w:val="21"/>
        </w:rPr>
      </w:pPr>
      <w:r>
        <w:rPr>
          <w:sz w:val="24"/>
        </w:rPr>
        <w:br w:type="page"/>
      </w:r>
      <w:r>
        <w:rPr>
          <w:b/>
          <w:kern w:val="28"/>
          <w:sz w:val="32"/>
        </w:rPr>
        <w:t>投 标 邀 请 函</w:t>
      </w:r>
    </w:p>
    <w:p>
      <w:pPr>
        <w:keepNext w:val="0"/>
        <w:keepLines w:val="0"/>
        <w:pageBreakBefore w:val="0"/>
        <w:kinsoku/>
        <w:wordWrap/>
        <w:overflowPunct/>
        <w:topLinePunct w:val="0"/>
        <w:bidi w:val="0"/>
        <w:spacing w:line="432" w:lineRule="auto"/>
        <w:ind w:firstLine="527" w:firstLineChars="250"/>
        <w:rPr>
          <w:kern w:val="28"/>
          <w:szCs w:val="21"/>
        </w:rPr>
      </w:pPr>
      <w:r>
        <w:rPr>
          <w:rFonts w:hint="eastAsia"/>
          <w:b/>
          <w:kern w:val="28"/>
          <w:szCs w:val="21"/>
          <w:lang w:eastAsia="zh-CN"/>
        </w:rPr>
        <w:t>广东钧信建设管理有限公司中山分公司</w:t>
      </w:r>
      <w:r>
        <w:rPr>
          <w:kern w:val="28"/>
          <w:szCs w:val="21"/>
        </w:rPr>
        <w:t>（以下简称“招标代理机构”）受</w:t>
      </w:r>
      <w:r>
        <w:rPr>
          <w:rFonts w:hint="eastAsia"/>
          <w:b/>
          <w:kern w:val="28"/>
          <w:szCs w:val="21"/>
        </w:rPr>
        <w:t>中山市坦洲镇污水处理有限公司</w:t>
      </w:r>
      <w:r>
        <w:rPr>
          <w:kern w:val="28"/>
          <w:szCs w:val="21"/>
        </w:rPr>
        <w:t>（以下简称“招标</w:t>
      </w:r>
      <w:r>
        <w:rPr>
          <w:rFonts w:hint="eastAsia"/>
          <w:kern w:val="28"/>
          <w:szCs w:val="21"/>
        </w:rPr>
        <w:t>人</w:t>
      </w:r>
      <w:r>
        <w:rPr>
          <w:kern w:val="28"/>
          <w:szCs w:val="21"/>
        </w:rPr>
        <w:t>”）的委托</w:t>
      </w:r>
      <w:r>
        <w:t>，组织</w:t>
      </w:r>
      <w:r>
        <w:rPr>
          <w:rFonts w:hint="eastAsia"/>
          <w:b/>
          <w:kern w:val="28"/>
          <w:szCs w:val="21"/>
          <w:lang w:eastAsia="zh-CN"/>
        </w:rPr>
        <w:t>中山市坦洲镇污水处理有限公司消毒剂采购项目</w:t>
      </w:r>
      <w:r>
        <w:rPr>
          <w:kern w:val="28"/>
          <w:szCs w:val="21"/>
        </w:rPr>
        <w:t>进行</w:t>
      </w:r>
      <w:r>
        <w:rPr>
          <w:szCs w:val="21"/>
        </w:rPr>
        <w:t>公开招标。</w:t>
      </w:r>
      <w:r>
        <w:rPr>
          <w:kern w:val="28"/>
        </w:rPr>
        <w:t>欢迎符合资格条件的潜在投标人投标。</w:t>
      </w:r>
    </w:p>
    <w:p>
      <w:pPr>
        <w:keepNext w:val="0"/>
        <w:keepLines w:val="0"/>
        <w:pageBreakBefore w:val="0"/>
        <w:numPr>
          <w:ilvl w:val="0"/>
          <w:numId w:val="9"/>
        </w:numPr>
        <w:tabs>
          <w:tab w:val="left" w:pos="530"/>
          <w:tab w:val="clear" w:pos="420"/>
        </w:tabs>
        <w:kinsoku/>
        <w:wordWrap/>
        <w:overflowPunct/>
        <w:topLinePunct w:val="0"/>
        <w:bidi w:val="0"/>
        <w:spacing w:line="432" w:lineRule="auto"/>
        <w:ind w:left="530" w:hanging="530"/>
      </w:pPr>
      <w:r>
        <w:rPr>
          <w:b/>
          <w:bCs/>
          <w:szCs w:val="21"/>
        </w:rPr>
        <w:t>招标编号</w:t>
      </w:r>
      <w:r>
        <w:rPr>
          <w:szCs w:val="21"/>
        </w:rPr>
        <w:t>：</w:t>
      </w:r>
      <w:r>
        <w:rPr>
          <w:rFonts w:hint="eastAsia"/>
          <w:szCs w:val="21"/>
          <w:lang w:eastAsia="zh-CN"/>
        </w:rPr>
        <w:t>GDJX202004GK103</w:t>
      </w:r>
      <w:r>
        <w:t>；</w:t>
      </w:r>
    </w:p>
    <w:p>
      <w:pPr>
        <w:keepNext w:val="0"/>
        <w:keepLines w:val="0"/>
        <w:pageBreakBefore w:val="0"/>
        <w:numPr>
          <w:ilvl w:val="0"/>
          <w:numId w:val="9"/>
        </w:numPr>
        <w:tabs>
          <w:tab w:val="left" w:pos="530"/>
          <w:tab w:val="clear" w:pos="420"/>
        </w:tabs>
        <w:kinsoku/>
        <w:wordWrap/>
        <w:overflowPunct/>
        <w:topLinePunct w:val="0"/>
        <w:bidi w:val="0"/>
        <w:spacing w:line="432" w:lineRule="auto"/>
        <w:ind w:left="530" w:hanging="530"/>
        <w:rPr>
          <w:b/>
        </w:rPr>
      </w:pPr>
      <w:r>
        <w:rPr>
          <w:b/>
        </w:rPr>
        <w:t>项目名称：</w:t>
      </w:r>
      <w:r>
        <w:rPr>
          <w:rFonts w:hint="eastAsia"/>
          <w:szCs w:val="21"/>
          <w:lang w:eastAsia="zh-CN"/>
        </w:rPr>
        <w:t>中山市坦洲镇污水处理有限公司消毒剂采购项目</w:t>
      </w:r>
      <w:r>
        <w:rPr>
          <w:b/>
        </w:rPr>
        <w:t>；</w:t>
      </w:r>
    </w:p>
    <w:p>
      <w:pPr>
        <w:keepNext w:val="0"/>
        <w:keepLines w:val="0"/>
        <w:pageBreakBefore w:val="0"/>
        <w:numPr>
          <w:ilvl w:val="0"/>
          <w:numId w:val="9"/>
        </w:numPr>
        <w:tabs>
          <w:tab w:val="left" w:pos="530"/>
          <w:tab w:val="clear" w:pos="420"/>
        </w:tabs>
        <w:kinsoku/>
        <w:wordWrap/>
        <w:overflowPunct/>
        <w:topLinePunct w:val="0"/>
        <w:bidi w:val="0"/>
        <w:spacing w:line="432" w:lineRule="auto"/>
        <w:ind w:left="530" w:hanging="530"/>
        <w:rPr>
          <w:b/>
        </w:rPr>
      </w:pPr>
      <w:r>
        <w:rPr>
          <w:b/>
        </w:rPr>
        <w:t>招标预算</w:t>
      </w:r>
      <w:r>
        <w:rPr>
          <w:b/>
          <w:kern w:val="28"/>
          <w:szCs w:val="21"/>
        </w:rPr>
        <w:t>：</w:t>
      </w:r>
      <w:r>
        <w:rPr>
          <w:rFonts w:hint="eastAsia"/>
          <w:kern w:val="28"/>
          <w:szCs w:val="21"/>
          <w:lang w:val="en-US" w:eastAsia="zh-CN"/>
        </w:rPr>
        <w:t>1944000</w:t>
      </w:r>
      <w:r>
        <w:rPr>
          <w:kern w:val="28"/>
          <w:szCs w:val="21"/>
        </w:rPr>
        <w:t>元（人民币：</w:t>
      </w:r>
      <w:r>
        <w:rPr>
          <w:rFonts w:hint="eastAsia"/>
          <w:kern w:val="28"/>
          <w:szCs w:val="21"/>
          <w:lang w:eastAsia="zh-CN"/>
        </w:rPr>
        <w:t>壹佰玖拾肆万肆仟</w:t>
      </w:r>
      <w:r>
        <w:rPr>
          <w:kern w:val="28"/>
          <w:szCs w:val="21"/>
        </w:rPr>
        <w:t>元整），</w:t>
      </w:r>
      <w:r>
        <w:rPr>
          <w:b/>
          <w:bCs/>
          <w:kern w:val="28"/>
          <w:szCs w:val="21"/>
        </w:rPr>
        <w:t>资金来源：</w:t>
      </w:r>
      <w:r>
        <w:rPr>
          <w:rFonts w:hint="eastAsia"/>
          <w:kern w:val="28"/>
          <w:szCs w:val="21"/>
          <w:lang w:eastAsia="zh-CN"/>
        </w:rPr>
        <w:t>单位</w:t>
      </w:r>
      <w:r>
        <w:rPr>
          <w:rFonts w:hint="eastAsia"/>
          <w:kern w:val="28"/>
          <w:szCs w:val="21"/>
        </w:rPr>
        <w:t>自筹</w:t>
      </w:r>
      <w:r>
        <w:rPr>
          <w:kern w:val="28"/>
          <w:szCs w:val="21"/>
        </w:rPr>
        <w:t>；</w:t>
      </w:r>
    </w:p>
    <w:p>
      <w:pPr>
        <w:keepNext w:val="0"/>
        <w:keepLines w:val="0"/>
        <w:pageBreakBefore w:val="0"/>
        <w:numPr>
          <w:ilvl w:val="0"/>
          <w:numId w:val="9"/>
        </w:numPr>
        <w:tabs>
          <w:tab w:val="left" w:pos="530"/>
        </w:tabs>
        <w:kinsoku/>
        <w:wordWrap/>
        <w:overflowPunct/>
        <w:topLinePunct w:val="0"/>
        <w:bidi w:val="0"/>
        <w:spacing w:line="432" w:lineRule="auto"/>
        <w:rPr>
          <w:b/>
        </w:rPr>
      </w:pPr>
      <w:r>
        <w:rPr>
          <w:b/>
          <w:bCs/>
          <w:kern w:val="28"/>
          <w:szCs w:val="21"/>
        </w:rPr>
        <w:t>招标数量</w:t>
      </w:r>
      <w:r>
        <w:rPr>
          <w:kern w:val="28"/>
          <w:szCs w:val="21"/>
        </w:rPr>
        <w:t>：</w:t>
      </w:r>
      <w:r>
        <w:rPr>
          <w:rFonts w:hint="eastAsia"/>
          <w:color w:val="000000"/>
          <w:kern w:val="28"/>
          <w:szCs w:val="21"/>
        </w:rPr>
        <w:t>过一硫酸氢钾</w:t>
      </w:r>
      <w:r>
        <w:rPr>
          <w:rFonts w:hint="eastAsia"/>
          <w:szCs w:val="21"/>
        </w:rPr>
        <w:t>复合</w:t>
      </w:r>
      <w:r>
        <w:rPr>
          <w:rFonts w:hint="eastAsia"/>
          <w:szCs w:val="21"/>
          <w:lang w:eastAsia="zh-CN"/>
        </w:rPr>
        <w:t>盐</w:t>
      </w:r>
      <w:r>
        <w:rPr>
          <w:rFonts w:hint="eastAsia"/>
          <w:szCs w:val="21"/>
          <w:lang w:val="en-US" w:eastAsia="zh-CN"/>
        </w:rPr>
        <w:t>38.88</w:t>
      </w:r>
      <w:r>
        <w:rPr>
          <w:rFonts w:hint="eastAsia"/>
          <w:szCs w:val="21"/>
        </w:rPr>
        <w:t>吨</w:t>
      </w:r>
      <w:r>
        <w:rPr>
          <w:szCs w:val="21"/>
        </w:rPr>
        <w:t>。</w:t>
      </w:r>
    </w:p>
    <w:p>
      <w:pPr>
        <w:keepNext w:val="0"/>
        <w:keepLines w:val="0"/>
        <w:pageBreakBefore w:val="0"/>
        <w:numPr>
          <w:ilvl w:val="0"/>
          <w:numId w:val="9"/>
        </w:numPr>
        <w:tabs>
          <w:tab w:val="left" w:pos="530"/>
          <w:tab w:val="clear" w:pos="420"/>
        </w:tabs>
        <w:kinsoku/>
        <w:wordWrap/>
        <w:overflowPunct/>
        <w:topLinePunct w:val="0"/>
        <w:bidi w:val="0"/>
        <w:spacing w:line="432" w:lineRule="auto"/>
        <w:ind w:left="530" w:hanging="530"/>
        <w:rPr>
          <w:b/>
        </w:rPr>
      </w:pPr>
      <w:r>
        <w:rPr>
          <w:b/>
        </w:rPr>
        <w:t>项目内容及需求：</w:t>
      </w:r>
    </w:p>
    <w:p>
      <w:pPr>
        <w:keepNext w:val="0"/>
        <w:keepLines w:val="0"/>
        <w:pageBreakBefore w:val="0"/>
        <w:numPr>
          <w:ilvl w:val="0"/>
          <w:numId w:val="10"/>
        </w:numPr>
        <w:tabs>
          <w:tab w:val="left" w:pos="530"/>
          <w:tab w:val="clear" w:pos="540"/>
        </w:tabs>
        <w:kinsoku/>
        <w:wordWrap/>
        <w:overflowPunct/>
        <w:topLinePunct w:val="0"/>
        <w:bidi w:val="0"/>
        <w:spacing w:line="432" w:lineRule="auto"/>
        <w:ind w:left="530" w:hanging="424"/>
      </w:pPr>
      <w:r>
        <w:t>项目内容：详见招标文件第二部分“用户需求书”的内容。</w:t>
      </w:r>
    </w:p>
    <w:p>
      <w:pPr>
        <w:keepNext w:val="0"/>
        <w:keepLines w:val="0"/>
        <w:pageBreakBefore w:val="0"/>
        <w:numPr>
          <w:ilvl w:val="0"/>
          <w:numId w:val="10"/>
        </w:numPr>
        <w:tabs>
          <w:tab w:val="left" w:pos="530"/>
          <w:tab w:val="clear" w:pos="540"/>
        </w:tabs>
        <w:kinsoku/>
        <w:wordWrap/>
        <w:overflowPunct/>
        <w:topLinePunct w:val="0"/>
        <w:bidi w:val="0"/>
        <w:spacing w:line="432" w:lineRule="auto"/>
        <w:ind w:left="530" w:hanging="424"/>
      </w:pPr>
      <w:r>
        <w:t>本项目不允许提交备选方案。</w:t>
      </w:r>
    </w:p>
    <w:p>
      <w:pPr>
        <w:keepNext w:val="0"/>
        <w:keepLines w:val="0"/>
        <w:pageBreakBefore w:val="0"/>
        <w:numPr>
          <w:ilvl w:val="0"/>
          <w:numId w:val="9"/>
        </w:numPr>
        <w:tabs>
          <w:tab w:val="left" w:pos="530"/>
          <w:tab w:val="clear" w:pos="420"/>
        </w:tabs>
        <w:kinsoku/>
        <w:wordWrap/>
        <w:overflowPunct/>
        <w:topLinePunct w:val="0"/>
        <w:bidi w:val="0"/>
        <w:spacing w:line="432" w:lineRule="auto"/>
        <w:ind w:left="530" w:hanging="530"/>
        <w:rPr>
          <w:b/>
          <w:szCs w:val="21"/>
        </w:rPr>
      </w:pPr>
      <w:r>
        <w:rPr>
          <w:b/>
          <w:szCs w:val="21"/>
        </w:rPr>
        <w:t>投标人资格要求：</w:t>
      </w:r>
    </w:p>
    <w:p>
      <w:pPr>
        <w:keepNext w:val="0"/>
        <w:keepLines w:val="0"/>
        <w:pageBreakBefore w:val="0"/>
        <w:widowControl w:val="0"/>
        <w:numPr>
          <w:ilvl w:val="0"/>
          <w:numId w:val="11"/>
        </w:numPr>
        <w:kinsoku/>
        <w:wordWrap/>
        <w:overflowPunct/>
        <w:topLinePunct w:val="0"/>
        <w:bidi w:val="0"/>
        <w:snapToGrid w:val="0"/>
        <w:spacing w:line="432" w:lineRule="auto"/>
        <w:jc w:val="both"/>
        <w:rPr>
          <w:szCs w:val="21"/>
          <w:highlight w:val="none"/>
        </w:rPr>
      </w:pPr>
      <w:r>
        <w:rPr>
          <w:rFonts w:hint="eastAsia" w:ascii="宋体" w:hAnsi="宋体"/>
          <w:color w:val="000000"/>
          <w:kern w:val="0"/>
          <w:sz w:val="21"/>
          <w:szCs w:val="21"/>
          <w:highlight w:val="none"/>
        </w:rPr>
        <w:t>投标人须</w:t>
      </w:r>
      <w:r>
        <w:rPr>
          <w:rFonts w:ascii="宋体" w:hAnsi="宋体"/>
          <w:color w:val="000000"/>
          <w:kern w:val="0"/>
          <w:sz w:val="21"/>
          <w:szCs w:val="21"/>
          <w:highlight w:val="none"/>
        </w:rPr>
        <w:t>具有独立承担民事责任能力的在</w:t>
      </w:r>
      <w:r>
        <w:rPr>
          <w:rFonts w:hint="eastAsia" w:ascii="宋体" w:hAnsi="宋体"/>
          <w:color w:val="000000"/>
          <w:kern w:val="0"/>
          <w:sz w:val="21"/>
          <w:szCs w:val="21"/>
          <w:highlight w:val="none"/>
        </w:rPr>
        <w:t>中华人民共和国境内</w:t>
      </w:r>
      <w:r>
        <w:rPr>
          <w:rFonts w:ascii="宋体" w:hAnsi="宋体"/>
          <w:color w:val="000000"/>
          <w:kern w:val="0"/>
          <w:sz w:val="21"/>
          <w:szCs w:val="21"/>
          <w:highlight w:val="none"/>
        </w:rPr>
        <w:t>法人</w:t>
      </w:r>
      <w:r>
        <w:rPr>
          <w:rFonts w:hint="eastAsia" w:ascii="宋体" w:hAnsi="宋体"/>
          <w:color w:val="000000"/>
          <w:kern w:val="0"/>
          <w:sz w:val="21"/>
          <w:szCs w:val="21"/>
          <w:highlight w:val="none"/>
        </w:rPr>
        <w:t>，投标人须具有有效的营业执照</w:t>
      </w:r>
      <w:r>
        <w:rPr>
          <w:rFonts w:hint="eastAsia"/>
          <w:szCs w:val="21"/>
          <w:highlight w:val="none"/>
        </w:rPr>
        <w:t>，并独立于采购人和采购代理机构，</w:t>
      </w:r>
      <w:r>
        <w:rPr>
          <w:rFonts w:hint="eastAsia" w:ascii="宋体" w:hAnsi="宋体" w:cs="宋体"/>
          <w:szCs w:val="21"/>
          <w:highlight w:val="none"/>
        </w:rPr>
        <w:t>营业执照经营范围</w:t>
      </w:r>
      <w:r>
        <w:rPr>
          <w:rFonts w:hint="eastAsia" w:cs="宋体"/>
          <w:szCs w:val="21"/>
          <w:highlight w:val="none"/>
        </w:rPr>
        <w:t>须</w:t>
      </w:r>
      <w:r>
        <w:rPr>
          <w:rFonts w:hint="eastAsia" w:ascii="宋体" w:hAnsi="宋体" w:cs="宋体"/>
          <w:szCs w:val="21"/>
          <w:highlight w:val="none"/>
        </w:rPr>
        <w:t>包含本次招标内容；</w:t>
      </w:r>
      <w:r>
        <w:rPr>
          <w:rFonts w:hint="eastAsia"/>
          <w:szCs w:val="21"/>
          <w:highlight w:val="none"/>
        </w:rPr>
        <w:t>（提供证明文件复印件并加盖公章）</w:t>
      </w:r>
      <w:r>
        <w:rPr>
          <w:highlight w:val="none"/>
        </w:rPr>
        <w:t>；</w:t>
      </w:r>
    </w:p>
    <w:p>
      <w:pPr>
        <w:keepNext w:val="0"/>
        <w:keepLines w:val="0"/>
        <w:pageBreakBefore w:val="0"/>
        <w:widowControl w:val="0"/>
        <w:numPr>
          <w:ilvl w:val="0"/>
          <w:numId w:val="11"/>
        </w:numPr>
        <w:kinsoku/>
        <w:wordWrap/>
        <w:overflowPunct/>
        <w:topLinePunct w:val="0"/>
        <w:bidi w:val="0"/>
        <w:snapToGrid w:val="0"/>
        <w:spacing w:line="432" w:lineRule="auto"/>
        <w:jc w:val="both"/>
        <w:rPr>
          <w:szCs w:val="21"/>
          <w:highlight w:val="none"/>
        </w:rPr>
      </w:pPr>
      <w:r>
        <w:rPr>
          <w:rFonts w:hint="eastAsia" w:ascii="宋体" w:hAnsi="宋体"/>
          <w:sz w:val="21"/>
          <w:szCs w:val="21"/>
          <w:highlight w:val="none"/>
        </w:rPr>
        <w:t>投标人未被列入“信用中国”网站(www.creditchina.gov.cn)记录失信被执行人（以招标代理机构在开标现场查询投标人在“信用中国”网站（www.creditchina.gov.cn）的结果为准，如相关失信记录已失效，投标人需提供相关证明资料）；</w:t>
      </w:r>
    </w:p>
    <w:p>
      <w:pPr>
        <w:keepNext w:val="0"/>
        <w:keepLines w:val="0"/>
        <w:pageBreakBefore w:val="0"/>
        <w:widowControl w:val="0"/>
        <w:numPr>
          <w:ilvl w:val="0"/>
          <w:numId w:val="11"/>
        </w:numPr>
        <w:kinsoku/>
        <w:wordWrap/>
        <w:overflowPunct/>
        <w:topLinePunct w:val="0"/>
        <w:bidi w:val="0"/>
        <w:snapToGrid w:val="0"/>
        <w:spacing w:line="432" w:lineRule="auto"/>
        <w:jc w:val="both"/>
        <w:rPr>
          <w:szCs w:val="21"/>
          <w:highlight w:val="none"/>
        </w:rPr>
      </w:pPr>
      <w:r>
        <w:rPr>
          <w:szCs w:val="21"/>
          <w:highlight w:val="none"/>
        </w:rPr>
        <w:t>本项目不接受联合体投标。</w:t>
      </w:r>
    </w:p>
    <w:p>
      <w:pPr>
        <w:keepNext w:val="0"/>
        <w:keepLines w:val="0"/>
        <w:pageBreakBefore w:val="0"/>
        <w:widowControl w:val="0"/>
        <w:numPr>
          <w:ilvl w:val="0"/>
          <w:numId w:val="11"/>
        </w:numPr>
        <w:kinsoku/>
        <w:wordWrap/>
        <w:overflowPunct/>
        <w:topLinePunct w:val="0"/>
        <w:bidi w:val="0"/>
        <w:snapToGrid w:val="0"/>
        <w:spacing w:line="432" w:lineRule="auto"/>
        <w:jc w:val="both"/>
        <w:rPr>
          <w:szCs w:val="21"/>
          <w:highlight w:val="none"/>
        </w:rPr>
      </w:pPr>
      <w:r>
        <w:rPr>
          <w:rFonts w:hint="eastAsia" w:ascii="宋体" w:hAnsi="宋体"/>
          <w:szCs w:val="21"/>
        </w:rPr>
        <w:t>投标人必须在中山市公共资源交易平台综合交易系统获取招标文件。</w:t>
      </w:r>
    </w:p>
    <w:p>
      <w:pPr>
        <w:keepNext w:val="0"/>
        <w:keepLines w:val="0"/>
        <w:pageBreakBefore w:val="0"/>
        <w:widowControl w:val="0"/>
        <w:kinsoku/>
        <w:wordWrap/>
        <w:overflowPunct/>
        <w:topLinePunct w:val="0"/>
        <w:bidi w:val="0"/>
        <w:adjustRightInd/>
        <w:snapToGrid/>
        <w:spacing w:line="432" w:lineRule="auto"/>
        <w:ind w:left="422" w:leftChars="0" w:right="0" w:hanging="422" w:hangingChars="200"/>
        <w:jc w:val="both"/>
        <w:textAlignment w:val="auto"/>
        <w:outlineLvl w:val="9"/>
        <w:rPr>
          <w:rFonts w:hint="eastAsia" w:hAnsi="宋体"/>
          <w:b/>
          <w:bCs/>
          <w:sz w:val="21"/>
          <w:szCs w:val="21"/>
          <w:highlight w:val="none"/>
          <w:shd w:val="clear" w:color="auto" w:fill="auto"/>
          <w:lang w:eastAsia="zh-CN"/>
        </w:rPr>
      </w:pPr>
      <w:bookmarkStart w:id="11" w:name="OLE_LINK32"/>
      <w:r>
        <w:rPr>
          <w:rFonts w:hint="eastAsia" w:hAnsi="宋体"/>
          <w:b/>
          <w:bCs/>
          <w:sz w:val="21"/>
          <w:szCs w:val="21"/>
          <w:highlight w:val="none"/>
        </w:rPr>
        <w:t>六、</w:t>
      </w:r>
      <w:r>
        <w:rPr>
          <w:rFonts w:hint="eastAsia" w:hAnsi="宋体"/>
          <w:b/>
          <w:bCs/>
          <w:sz w:val="21"/>
          <w:szCs w:val="21"/>
          <w:highlight w:val="none"/>
          <w:lang w:eastAsia="zh-CN"/>
        </w:rPr>
        <w:t>各</w:t>
      </w:r>
      <w:r>
        <w:rPr>
          <w:rFonts w:hint="eastAsia" w:hAnsi="宋体"/>
          <w:b/>
          <w:bCs/>
          <w:sz w:val="21"/>
          <w:szCs w:val="21"/>
          <w:highlight w:val="none"/>
        </w:rPr>
        <w:t>潜在</w:t>
      </w:r>
      <w:r>
        <w:rPr>
          <w:rFonts w:hint="eastAsia" w:hAnsi="宋体"/>
          <w:b/>
          <w:bCs/>
          <w:sz w:val="21"/>
          <w:szCs w:val="21"/>
          <w:highlight w:val="none"/>
          <w:lang w:eastAsia="zh-CN"/>
        </w:rPr>
        <w:t>投标人</w:t>
      </w:r>
      <w:r>
        <w:rPr>
          <w:rFonts w:hint="eastAsia" w:hAnsi="宋体"/>
          <w:b/>
          <w:bCs/>
          <w:sz w:val="21"/>
          <w:szCs w:val="21"/>
          <w:highlight w:val="none"/>
          <w:lang w:val="en-US" w:eastAsia="zh-CN"/>
        </w:rPr>
        <w:t>/</w:t>
      </w:r>
      <w:r>
        <w:rPr>
          <w:rFonts w:hint="eastAsia" w:hAnsi="宋体"/>
          <w:b/>
          <w:bCs/>
          <w:sz w:val="21"/>
          <w:szCs w:val="21"/>
          <w:highlight w:val="none"/>
        </w:rPr>
        <w:t>供应商应当在</w:t>
      </w:r>
      <w:r>
        <w:rPr>
          <w:rFonts w:hint="eastAsia" w:hAnsi="宋体"/>
          <w:b/>
          <w:bCs/>
          <w:sz w:val="21"/>
          <w:szCs w:val="21"/>
          <w:highlight w:val="none"/>
          <w:lang w:val="en-US" w:eastAsia="zh-CN"/>
        </w:rPr>
        <w:t>2020</w:t>
      </w:r>
      <w:r>
        <w:rPr>
          <w:rFonts w:hint="eastAsia" w:hAnsi="宋体"/>
          <w:b/>
          <w:bCs/>
          <w:sz w:val="21"/>
          <w:szCs w:val="21"/>
          <w:highlight w:val="none"/>
        </w:rPr>
        <w:t>年</w:t>
      </w:r>
      <w:r>
        <w:rPr>
          <w:rFonts w:hint="eastAsia" w:hAnsi="宋体"/>
          <w:b/>
          <w:bCs/>
          <w:sz w:val="21"/>
          <w:szCs w:val="21"/>
          <w:highlight w:val="none"/>
          <w:lang w:val="en-US" w:eastAsia="zh-CN"/>
        </w:rPr>
        <w:t xml:space="preserve">  </w:t>
      </w:r>
      <w:r>
        <w:rPr>
          <w:rFonts w:hint="eastAsia" w:hAnsi="宋体"/>
          <w:b/>
          <w:bCs/>
          <w:sz w:val="21"/>
          <w:szCs w:val="21"/>
          <w:highlight w:val="none"/>
        </w:rPr>
        <w:t xml:space="preserve"> 月 </w:t>
      </w:r>
      <w:r>
        <w:rPr>
          <w:rFonts w:hint="eastAsia" w:hAnsi="宋体"/>
          <w:b/>
          <w:bCs/>
          <w:sz w:val="21"/>
          <w:szCs w:val="21"/>
          <w:highlight w:val="none"/>
          <w:lang w:val="en-US" w:eastAsia="zh-CN"/>
        </w:rPr>
        <w:t xml:space="preserve">  </w:t>
      </w:r>
      <w:r>
        <w:rPr>
          <w:rFonts w:hint="eastAsia" w:hAnsi="宋体"/>
          <w:b/>
          <w:bCs/>
          <w:sz w:val="21"/>
          <w:szCs w:val="21"/>
          <w:highlight w:val="none"/>
        </w:rPr>
        <w:t>日至</w:t>
      </w:r>
      <w:r>
        <w:rPr>
          <w:rFonts w:hint="eastAsia" w:hAnsi="宋体"/>
          <w:b/>
          <w:bCs/>
          <w:sz w:val="21"/>
          <w:szCs w:val="21"/>
          <w:highlight w:val="none"/>
          <w:lang w:val="en-US" w:eastAsia="zh-CN"/>
        </w:rPr>
        <w:t>2020</w:t>
      </w:r>
      <w:r>
        <w:rPr>
          <w:rFonts w:hint="eastAsia" w:hAnsi="宋体"/>
          <w:b/>
          <w:bCs/>
          <w:sz w:val="21"/>
          <w:szCs w:val="21"/>
          <w:highlight w:val="none"/>
        </w:rPr>
        <w:t>年</w:t>
      </w:r>
      <w:r>
        <w:rPr>
          <w:rFonts w:hint="eastAsia" w:hAnsi="宋体"/>
          <w:b/>
          <w:bCs/>
          <w:sz w:val="21"/>
          <w:szCs w:val="21"/>
          <w:highlight w:val="none"/>
          <w:lang w:val="en-US" w:eastAsia="zh-CN"/>
        </w:rPr>
        <w:t xml:space="preserve">  </w:t>
      </w:r>
      <w:r>
        <w:rPr>
          <w:rFonts w:hint="eastAsia" w:hAnsi="宋体"/>
          <w:b/>
          <w:bCs/>
          <w:sz w:val="21"/>
          <w:szCs w:val="21"/>
          <w:highlight w:val="none"/>
        </w:rPr>
        <w:t xml:space="preserve"> 月</w:t>
      </w:r>
      <w:r>
        <w:rPr>
          <w:rFonts w:hint="eastAsia" w:hAnsi="宋体"/>
          <w:b/>
          <w:bCs/>
          <w:sz w:val="21"/>
          <w:szCs w:val="21"/>
          <w:highlight w:val="none"/>
          <w:lang w:val="en-US" w:eastAsia="zh-CN"/>
        </w:rPr>
        <w:t xml:space="preserve">  </w:t>
      </w:r>
      <w:r>
        <w:rPr>
          <w:rFonts w:hint="eastAsia" w:hAnsi="宋体"/>
          <w:b/>
          <w:bCs/>
          <w:sz w:val="21"/>
          <w:szCs w:val="21"/>
          <w:highlight w:val="none"/>
        </w:rPr>
        <w:t xml:space="preserve"> 日</w:t>
      </w:r>
      <w:r>
        <w:rPr>
          <w:rFonts w:hint="eastAsia" w:hAnsi="宋体"/>
          <w:b/>
          <w:bCs/>
          <w:sz w:val="21"/>
          <w:szCs w:val="21"/>
          <w:highlight w:val="none"/>
          <w:lang w:val="en-US" w:eastAsia="zh-CN"/>
        </w:rPr>
        <w:t xml:space="preserve">  </w:t>
      </w:r>
      <w:r>
        <w:rPr>
          <w:rFonts w:hint="eastAsia" w:hAnsi="宋体"/>
          <w:b/>
          <w:bCs/>
          <w:sz w:val="21"/>
          <w:szCs w:val="21"/>
          <w:highlight w:val="none"/>
        </w:rPr>
        <w:t>内</w:t>
      </w:r>
      <w:r>
        <w:rPr>
          <w:rFonts w:hint="eastAsia" w:hAnsi="宋体"/>
          <w:b/>
          <w:bCs/>
          <w:sz w:val="21"/>
          <w:szCs w:val="21"/>
          <w:highlight w:val="none"/>
          <w:lang w:eastAsia="zh-CN"/>
        </w:rPr>
        <w:t>登录中山市公共资源交</w:t>
      </w:r>
      <w:r>
        <w:rPr>
          <w:rFonts w:hint="eastAsia" w:hAnsi="宋体"/>
          <w:b/>
          <w:bCs/>
          <w:sz w:val="21"/>
          <w:szCs w:val="21"/>
          <w:highlight w:val="none"/>
          <w:shd w:val="clear" w:color="auto" w:fill="auto"/>
          <w:lang w:eastAsia="zh-CN"/>
        </w:rPr>
        <w:t>易</w:t>
      </w:r>
      <w:r>
        <w:rPr>
          <w:rFonts w:hint="eastAsia" w:hAnsi="宋体"/>
          <w:b/>
          <w:bCs/>
          <w:color w:val="auto"/>
          <w:sz w:val="21"/>
          <w:szCs w:val="21"/>
          <w:highlight w:val="none"/>
          <w:shd w:val="clear" w:color="auto" w:fill="auto"/>
          <w:lang w:eastAsia="zh-CN"/>
        </w:rPr>
        <w:t>平台综合交易系统</w:t>
      </w:r>
      <w:r>
        <w:rPr>
          <w:rFonts w:hint="eastAsia" w:hAnsi="宋体"/>
          <w:b/>
          <w:bCs/>
          <w:sz w:val="21"/>
          <w:szCs w:val="21"/>
          <w:highlight w:val="none"/>
          <w:shd w:val="clear" w:color="auto" w:fill="auto"/>
          <w:lang w:eastAsia="zh-CN"/>
        </w:rPr>
        <w:t>获取招标</w:t>
      </w:r>
      <w:r>
        <w:rPr>
          <w:rFonts w:hint="eastAsia" w:hAnsi="宋体"/>
          <w:b/>
          <w:bCs/>
          <w:sz w:val="21"/>
          <w:szCs w:val="21"/>
          <w:highlight w:val="none"/>
          <w:shd w:val="clear" w:color="auto" w:fill="auto"/>
          <w:lang w:val="en-US" w:eastAsia="zh-CN"/>
        </w:rPr>
        <w:t>/</w:t>
      </w:r>
      <w:r>
        <w:rPr>
          <w:rFonts w:hint="eastAsia" w:hAnsi="宋体"/>
          <w:b/>
          <w:bCs/>
          <w:sz w:val="21"/>
          <w:szCs w:val="21"/>
          <w:highlight w:val="none"/>
          <w:shd w:val="clear" w:color="auto" w:fill="auto"/>
          <w:lang w:eastAsia="zh-CN"/>
        </w:rPr>
        <w:t>采购文件。</w:t>
      </w:r>
    </w:p>
    <w:p>
      <w:pPr>
        <w:keepNext w:val="0"/>
        <w:keepLines w:val="0"/>
        <w:pageBreakBefore w:val="0"/>
        <w:widowControl w:val="0"/>
        <w:numPr>
          <w:ilvl w:val="0"/>
          <w:numId w:val="0"/>
        </w:numPr>
        <w:kinsoku/>
        <w:wordWrap/>
        <w:overflowPunct/>
        <w:topLinePunct w:val="0"/>
        <w:bidi w:val="0"/>
        <w:snapToGrid w:val="0"/>
        <w:spacing w:line="432" w:lineRule="auto"/>
        <w:ind w:left="420" w:leftChars="0" w:hanging="420" w:hangingChars="200"/>
        <w:jc w:val="both"/>
        <w:rPr>
          <w:rFonts w:hint="eastAsia" w:ascii="宋体" w:hAnsi="宋体"/>
          <w:color w:val="000000"/>
          <w:kern w:val="0"/>
          <w:sz w:val="21"/>
          <w:szCs w:val="21"/>
          <w:highlight w:val="none"/>
        </w:rPr>
      </w:pPr>
      <w:r>
        <w:rPr>
          <w:rFonts w:hint="eastAsia" w:ascii="宋体" w:hAnsi="宋体"/>
          <w:color w:val="000000"/>
          <w:kern w:val="0"/>
          <w:sz w:val="21"/>
          <w:szCs w:val="21"/>
          <w:highlight w:val="none"/>
          <w:lang w:val="en-US" w:eastAsia="zh-CN"/>
        </w:rPr>
        <w:t xml:space="preserve">1.  </w:t>
      </w:r>
      <w:r>
        <w:rPr>
          <w:rFonts w:hint="eastAsia" w:ascii="宋体" w:hAnsi="宋体"/>
          <w:color w:val="000000"/>
          <w:kern w:val="0"/>
          <w:sz w:val="21"/>
          <w:szCs w:val="21"/>
          <w:highlight w:val="none"/>
        </w:rPr>
        <w:t>项目采用系统获取招标/采购文件的方式。请各潜在供应商/投标人登录中山市公共资源交易中心新门户网站，按照《中山市公共资源交易系统用户自主注册办理指引》完成注册登记工作，并办理数字证书。网址详见：</w:t>
      </w:r>
    </w:p>
    <w:p>
      <w:pPr>
        <w:keepNext w:val="0"/>
        <w:keepLines w:val="0"/>
        <w:pageBreakBefore w:val="0"/>
        <w:widowControl w:val="0"/>
        <w:numPr>
          <w:ilvl w:val="0"/>
          <w:numId w:val="0"/>
        </w:numPr>
        <w:kinsoku/>
        <w:wordWrap/>
        <w:overflowPunct/>
        <w:topLinePunct w:val="0"/>
        <w:bidi w:val="0"/>
        <w:snapToGrid w:val="0"/>
        <w:spacing w:line="432" w:lineRule="auto"/>
        <w:ind w:leftChars="0" w:firstLine="420" w:firstLineChars="200"/>
        <w:jc w:val="both"/>
        <w:rPr>
          <w:rFonts w:hint="eastAsia" w:ascii="宋体" w:hAnsi="宋体"/>
          <w:color w:val="000000"/>
          <w:kern w:val="0"/>
          <w:sz w:val="21"/>
          <w:szCs w:val="21"/>
          <w:highlight w:val="none"/>
        </w:rPr>
      </w:pPr>
      <w:r>
        <w:rPr>
          <w:rFonts w:hint="eastAsia" w:ascii="宋体" w:hAnsi="宋体"/>
          <w:color w:val="000000"/>
          <w:kern w:val="0"/>
          <w:sz w:val="21"/>
          <w:szCs w:val="21"/>
          <w:highlight w:val="none"/>
        </w:rPr>
        <w:t>《中山市公共资源交易系统用户自主注册办理指引》：</w:t>
      </w:r>
    </w:p>
    <w:p>
      <w:pPr>
        <w:pStyle w:val="17"/>
        <w:widowControl/>
        <w:spacing w:line="360" w:lineRule="auto"/>
        <w:ind w:firstLine="420" w:firstLineChars="200"/>
        <w:jc w:val="left"/>
        <w:rPr>
          <w:rFonts w:hint="eastAsia" w:ascii="Times New Roman" w:hAnsi="宋体" w:eastAsia="宋体" w:cs="Times New Roman"/>
          <w:kern w:val="0"/>
          <w:szCs w:val="21"/>
        </w:rPr>
      </w:pPr>
      <w:r>
        <w:rPr>
          <w:rFonts w:hint="eastAsia" w:ascii="Times New Roman" w:hAnsi="宋体" w:eastAsia="宋体" w:cs="Times New Roman"/>
          <w:kern w:val="0"/>
          <w:szCs w:val="21"/>
        </w:rPr>
        <w:t>http://ggzyjy.zs.gov.cn/Application/NewPage/PageArtical_1.jsp?nodeID=83&amp;articalID=98681</w:t>
      </w:r>
    </w:p>
    <w:p>
      <w:pPr>
        <w:keepNext w:val="0"/>
        <w:keepLines w:val="0"/>
        <w:pageBreakBefore w:val="0"/>
        <w:widowControl w:val="0"/>
        <w:numPr>
          <w:ilvl w:val="0"/>
          <w:numId w:val="0"/>
        </w:numPr>
        <w:kinsoku/>
        <w:wordWrap/>
        <w:overflowPunct/>
        <w:topLinePunct w:val="0"/>
        <w:bidi w:val="0"/>
        <w:snapToGrid w:val="0"/>
        <w:spacing w:line="432" w:lineRule="auto"/>
        <w:ind w:leftChars="0" w:firstLine="420" w:firstLineChars="200"/>
        <w:jc w:val="both"/>
        <w:rPr>
          <w:rFonts w:hint="eastAsia" w:ascii="宋体" w:hAnsi="宋体"/>
          <w:color w:val="000000"/>
          <w:kern w:val="0"/>
          <w:sz w:val="21"/>
          <w:szCs w:val="21"/>
          <w:highlight w:val="none"/>
        </w:rPr>
      </w:pPr>
      <w:r>
        <w:rPr>
          <w:rFonts w:hint="eastAsia" w:ascii="宋体" w:hAnsi="宋体"/>
          <w:color w:val="000000"/>
          <w:kern w:val="0"/>
          <w:sz w:val="21"/>
          <w:szCs w:val="21"/>
          <w:highlight w:val="none"/>
        </w:rPr>
        <w:t>《中山市公共资源交易中心数字证书办理指引》：</w:t>
      </w:r>
    </w:p>
    <w:p>
      <w:pPr>
        <w:keepNext w:val="0"/>
        <w:keepLines w:val="0"/>
        <w:pageBreakBefore w:val="0"/>
        <w:widowControl w:val="0"/>
        <w:numPr>
          <w:ilvl w:val="0"/>
          <w:numId w:val="0"/>
        </w:numPr>
        <w:kinsoku/>
        <w:wordWrap/>
        <w:overflowPunct/>
        <w:topLinePunct w:val="0"/>
        <w:bidi w:val="0"/>
        <w:snapToGrid w:val="0"/>
        <w:spacing w:line="432" w:lineRule="auto"/>
        <w:ind w:leftChars="0" w:firstLine="420" w:firstLineChars="200"/>
        <w:jc w:val="both"/>
        <w:rPr>
          <w:rFonts w:hint="eastAsia" w:ascii="宋体" w:hAnsi="宋体"/>
          <w:color w:val="000000"/>
          <w:kern w:val="0"/>
          <w:sz w:val="21"/>
          <w:szCs w:val="21"/>
          <w:highlight w:val="none"/>
        </w:rPr>
      </w:pPr>
      <w:r>
        <w:rPr>
          <w:rFonts w:hint="eastAsia" w:ascii="Times New Roman" w:hAnsi="宋体" w:eastAsia="宋体" w:cs="Times New Roman"/>
          <w:kern w:val="0"/>
          <w:sz w:val="21"/>
          <w:szCs w:val="21"/>
          <w:lang w:val="en-US" w:eastAsia="zh-CN" w:bidi="ar-SA"/>
        </w:rPr>
        <w:t>http://ggzyjy.zs.gov.cn/Application/NewPage/PageArtical_1.jsp?nodeID=83&amp;articalID=67568</w:t>
      </w:r>
    </w:p>
    <w:p>
      <w:pPr>
        <w:keepNext w:val="0"/>
        <w:keepLines w:val="0"/>
        <w:pageBreakBefore w:val="0"/>
        <w:widowControl w:val="0"/>
        <w:numPr>
          <w:ilvl w:val="0"/>
          <w:numId w:val="0"/>
        </w:numPr>
        <w:kinsoku/>
        <w:wordWrap/>
        <w:overflowPunct/>
        <w:topLinePunct w:val="0"/>
        <w:bidi w:val="0"/>
        <w:snapToGrid w:val="0"/>
        <w:spacing w:line="432" w:lineRule="auto"/>
        <w:ind w:leftChars="0" w:firstLine="420" w:firstLineChars="200"/>
        <w:jc w:val="both"/>
        <w:rPr>
          <w:rFonts w:hint="eastAsia" w:ascii="宋体" w:hAnsi="宋体"/>
          <w:color w:val="000000"/>
          <w:kern w:val="0"/>
          <w:sz w:val="21"/>
          <w:szCs w:val="21"/>
          <w:highlight w:val="none"/>
        </w:rPr>
      </w:pPr>
      <w:r>
        <w:rPr>
          <w:rFonts w:hint="eastAsia" w:ascii="宋体" w:hAnsi="宋体"/>
          <w:color w:val="000000"/>
          <w:kern w:val="0"/>
          <w:sz w:val="21"/>
          <w:szCs w:val="21"/>
          <w:highlight w:val="none"/>
        </w:rPr>
        <w:t>咨询电话，综合收件窗口：0760-89817167、0760-88331782</w:t>
      </w:r>
    </w:p>
    <w:p>
      <w:pPr>
        <w:keepNext w:val="0"/>
        <w:keepLines w:val="0"/>
        <w:pageBreakBefore w:val="0"/>
        <w:kinsoku/>
        <w:wordWrap/>
        <w:overflowPunct/>
        <w:topLinePunct w:val="0"/>
        <w:bidi w:val="0"/>
        <w:spacing w:line="432" w:lineRule="auto"/>
        <w:ind w:left="420" w:hanging="420" w:hangingChars="200"/>
        <w:rPr>
          <w:rFonts w:hint="eastAsia" w:hAnsi="宋体"/>
          <w:color w:val="FF0000"/>
          <w:sz w:val="21"/>
          <w:szCs w:val="21"/>
          <w:highlight w:val="none"/>
          <w:shd w:val="clear" w:color="auto" w:fill="auto"/>
        </w:rPr>
      </w:pPr>
      <w:r>
        <w:rPr>
          <w:rFonts w:hint="eastAsia" w:hAnsi="宋体"/>
          <w:szCs w:val="21"/>
        </w:rPr>
        <w:t>2</w:t>
      </w:r>
      <w:r>
        <w:rPr>
          <w:rFonts w:hint="eastAsia" w:hAnsi="宋体"/>
          <w:szCs w:val="21"/>
          <w:lang w:val="en-US" w:eastAsia="zh-CN"/>
        </w:rPr>
        <w:t xml:space="preserve">.    </w:t>
      </w:r>
      <w:r>
        <w:rPr>
          <w:rFonts w:hint="eastAsia" w:hAnsi="宋体"/>
          <w:szCs w:val="21"/>
        </w:rPr>
        <w:t>已注册登记的投标人/供应商应当在招标公告规定时间内，登录“中山市公共资源交易平台综合交易系统”完成获取招标/采购文件，上传投标文件和确认投标等操作。具体请按招标采购管理-投标企业操作手册V1.1完成获取有效的招标/采购文件的工作。</w:t>
      </w:r>
    </w:p>
    <w:p>
      <w:pPr>
        <w:spacing w:line="360" w:lineRule="auto"/>
        <w:rPr>
          <w:rFonts w:hint="eastAsia" w:hAnsi="宋体"/>
          <w:szCs w:val="21"/>
        </w:rPr>
      </w:pPr>
      <w:r>
        <w:rPr>
          <w:rFonts w:hint="eastAsia" w:hAnsi="宋体"/>
          <w:b/>
          <w:bCs/>
          <w:sz w:val="21"/>
          <w:szCs w:val="21"/>
          <w:highlight w:val="none"/>
          <w:lang w:val="en-US" w:eastAsia="zh-CN"/>
        </w:rPr>
        <w:t>七、</w:t>
      </w:r>
      <w:r>
        <w:rPr>
          <w:rFonts w:hint="eastAsia" w:hAnsi="宋体"/>
          <w:b/>
          <w:bCs/>
          <w:sz w:val="21"/>
          <w:szCs w:val="21"/>
          <w:highlight w:val="none"/>
        </w:rPr>
        <w:t>答疑时间：</w:t>
      </w:r>
      <w:r>
        <w:rPr>
          <w:rFonts w:hint="eastAsia" w:hAnsi="宋体"/>
          <w:szCs w:val="21"/>
        </w:rPr>
        <w:t>投标人/供应商如有疑问，请于</w:t>
      </w:r>
      <w:r>
        <w:rPr>
          <w:rFonts w:hint="eastAsia" w:hAnsi="宋体"/>
          <w:szCs w:val="21"/>
          <w:lang w:val="en-US" w:eastAsia="zh-CN"/>
        </w:rPr>
        <w:t>2020</w:t>
      </w:r>
      <w:r>
        <w:rPr>
          <w:rFonts w:hint="eastAsia" w:hAnsi="宋体"/>
          <w:szCs w:val="21"/>
        </w:rPr>
        <w:t>年</w:t>
      </w:r>
      <w:r>
        <w:rPr>
          <w:rFonts w:hint="eastAsia" w:hAnsi="宋体"/>
          <w:szCs w:val="21"/>
          <w:lang w:val="en-US" w:eastAsia="zh-CN"/>
        </w:rPr>
        <w:t xml:space="preserve">    </w:t>
      </w:r>
      <w:r>
        <w:rPr>
          <w:rFonts w:hint="eastAsia" w:hAnsi="宋体"/>
          <w:szCs w:val="21"/>
        </w:rPr>
        <w:t xml:space="preserve">月 </w:t>
      </w:r>
      <w:r>
        <w:rPr>
          <w:rFonts w:hint="eastAsia" w:hAnsi="宋体"/>
          <w:szCs w:val="21"/>
          <w:lang w:val="en-US" w:eastAsia="zh-CN"/>
        </w:rPr>
        <w:t xml:space="preserve">  </w:t>
      </w:r>
      <w:r>
        <w:rPr>
          <w:rFonts w:hint="eastAsia" w:hAnsi="宋体"/>
          <w:szCs w:val="21"/>
        </w:rPr>
        <w:t xml:space="preserve"> 日   </w:t>
      </w:r>
      <w:r>
        <w:rPr>
          <w:rFonts w:hint="eastAsia" w:hAnsi="宋体"/>
          <w:b/>
          <w:bCs/>
          <w:szCs w:val="21"/>
        </w:rPr>
        <w:t>时前在网上综合交易系统答疑管理处提出。</w:t>
      </w:r>
    </w:p>
    <w:p>
      <w:pPr>
        <w:keepNext w:val="0"/>
        <w:keepLines w:val="0"/>
        <w:pageBreakBefore w:val="0"/>
        <w:numPr>
          <w:ilvl w:val="0"/>
          <w:numId w:val="0"/>
        </w:numPr>
        <w:kinsoku/>
        <w:wordWrap/>
        <w:overflowPunct/>
        <w:topLinePunct w:val="0"/>
        <w:bidi w:val="0"/>
        <w:spacing w:line="432" w:lineRule="auto"/>
        <w:rPr>
          <w:rFonts w:hint="eastAsia" w:hAnsi="宋体"/>
          <w:sz w:val="21"/>
          <w:szCs w:val="21"/>
          <w:highlight w:val="none"/>
        </w:rPr>
      </w:pPr>
      <w:r>
        <w:rPr>
          <w:rFonts w:hint="eastAsia" w:hAnsi="宋体"/>
          <w:b/>
          <w:bCs/>
          <w:sz w:val="21"/>
          <w:szCs w:val="21"/>
          <w:highlight w:val="none"/>
          <w:lang w:val="en-US" w:eastAsia="zh-CN"/>
        </w:rPr>
        <w:t>八、</w:t>
      </w:r>
      <w:r>
        <w:rPr>
          <w:rFonts w:hint="eastAsia" w:hAnsi="宋体"/>
          <w:b/>
          <w:bCs/>
          <w:sz w:val="21"/>
          <w:szCs w:val="21"/>
          <w:highlight w:val="none"/>
        </w:rPr>
        <w:t>答疑回复时间：</w:t>
      </w:r>
      <w:r>
        <w:rPr>
          <w:rFonts w:hint="eastAsia" w:hAnsi="宋体"/>
          <w:szCs w:val="21"/>
          <w:lang w:val="en-US" w:eastAsia="zh-CN"/>
        </w:rPr>
        <w:t>2020</w:t>
      </w:r>
      <w:r>
        <w:rPr>
          <w:rFonts w:hint="eastAsia" w:hAnsi="宋体"/>
          <w:szCs w:val="21"/>
        </w:rPr>
        <w:t>年 月 日  时前将由</w:t>
      </w:r>
      <w:r>
        <w:rPr>
          <w:rFonts w:hint="eastAsia" w:hAnsi="宋体"/>
          <w:b/>
          <w:bCs/>
          <w:szCs w:val="21"/>
        </w:rPr>
        <w:t>招标代理机构统一</w:t>
      </w:r>
      <w:r>
        <w:rPr>
          <w:rFonts w:hint="eastAsia" w:hAnsi="宋体"/>
          <w:szCs w:val="21"/>
        </w:rPr>
        <w:t>在中山市公共资源交易网“综合交易-交易答疑澄清”栏发布答疑公告，请各投标人/供应商自行查看或下载。</w:t>
      </w:r>
    </w:p>
    <w:p>
      <w:pPr>
        <w:keepNext w:val="0"/>
        <w:keepLines w:val="0"/>
        <w:pageBreakBefore w:val="0"/>
        <w:numPr>
          <w:ilvl w:val="0"/>
          <w:numId w:val="0"/>
        </w:numPr>
        <w:kinsoku/>
        <w:wordWrap/>
        <w:overflowPunct/>
        <w:topLinePunct w:val="0"/>
        <w:bidi w:val="0"/>
        <w:spacing w:line="432" w:lineRule="auto"/>
        <w:rPr>
          <w:rFonts w:hint="eastAsia" w:hAnsi="宋体"/>
          <w:color w:val="auto"/>
          <w:sz w:val="21"/>
          <w:szCs w:val="21"/>
          <w:highlight w:val="none"/>
          <w:shd w:val="clear" w:color="auto" w:fill="auto"/>
          <w:lang w:eastAsia="zh-CN"/>
        </w:rPr>
      </w:pPr>
      <w:bookmarkStart w:id="12" w:name="OLE_LINK18"/>
      <w:r>
        <w:rPr>
          <w:rFonts w:hint="eastAsia" w:hAnsi="宋体"/>
          <w:b/>
          <w:bCs/>
          <w:sz w:val="21"/>
          <w:szCs w:val="21"/>
          <w:highlight w:val="none"/>
          <w:lang w:val="en-US" w:eastAsia="zh-CN"/>
        </w:rPr>
        <w:t>九、</w:t>
      </w:r>
      <w:r>
        <w:rPr>
          <w:rFonts w:hint="eastAsia" w:hAnsi="宋体"/>
          <w:b/>
          <w:bCs/>
          <w:sz w:val="21"/>
          <w:szCs w:val="21"/>
          <w:highlight w:val="none"/>
        </w:rPr>
        <w:t>投标</w:t>
      </w:r>
      <w:bookmarkEnd w:id="12"/>
      <w:r>
        <w:rPr>
          <w:rFonts w:hint="eastAsia" w:hAnsi="宋体"/>
          <w:b/>
          <w:bCs/>
          <w:sz w:val="21"/>
          <w:szCs w:val="21"/>
          <w:highlight w:val="none"/>
        </w:rPr>
        <w:t>保证金</w:t>
      </w:r>
      <w:bookmarkStart w:id="13" w:name="OLE_LINK19"/>
      <w:r>
        <w:rPr>
          <w:rFonts w:hint="eastAsia" w:hAnsi="宋体"/>
          <w:color w:val="auto"/>
          <w:sz w:val="21"/>
          <w:szCs w:val="21"/>
          <w:highlight w:val="none"/>
        </w:rPr>
        <w:t>。投标人必须按</w:t>
      </w:r>
      <w:r>
        <w:rPr>
          <w:rFonts w:hint="eastAsia" w:hAnsi="宋体"/>
          <w:b/>
          <w:bCs/>
          <w:color w:val="auto"/>
          <w:sz w:val="21"/>
          <w:szCs w:val="21"/>
          <w:highlight w:val="none"/>
        </w:rPr>
        <w:t>（综合交易）网上缴纳保证金通知书</w:t>
      </w:r>
      <w:r>
        <w:rPr>
          <w:rFonts w:hint="eastAsia" w:hAnsi="宋体"/>
          <w:color w:val="auto"/>
          <w:sz w:val="21"/>
          <w:szCs w:val="21"/>
          <w:highlight w:val="none"/>
        </w:rPr>
        <w:t xml:space="preserve"> 规定的方式提交投标保证金，投标保证金为</w:t>
      </w:r>
      <w:r>
        <w:rPr>
          <w:rFonts w:hint="eastAsia" w:hAnsi="宋体"/>
          <w:b/>
          <w:bCs/>
          <w:color w:val="auto"/>
          <w:sz w:val="21"/>
          <w:szCs w:val="21"/>
          <w:highlight w:val="none"/>
        </w:rPr>
        <w:t>¥</w:t>
      </w:r>
      <w:r>
        <w:rPr>
          <w:rFonts w:hint="eastAsia" w:hAnsi="宋体"/>
          <w:b/>
          <w:bCs/>
          <w:color w:val="auto"/>
          <w:sz w:val="21"/>
          <w:szCs w:val="21"/>
          <w:highlight w:val="none"/>
          <w:u w:val="single"/>
          <w:lang w:val="en-US" w:eastAsia="zh-CN"/>
        </w:rPr>
        <w:t>38000.00</w:t>
      </w:r>
      <w:r>
        <w:rPr>
          <w:rFonts w:hint="eastAsia" w:hAnsi="宋体"/>
          <w:b/>
          <w:bCs/>
          <w:color w:val="auto"/>
          <w:sz w:val="21"/>
          <w:szCs w:val="21"/>
          <w:highlight w:val="none"/>
        </w:rPr>
        <w:t>元</w:t>
      </w:r>
      <w:r>
        <w:rPr>
          <w:rFonts w:hint="eastAsia" w:hAnsi="宋体"/>
          <w:color w:val="auto"/>
          <w:sz w:val="21"/>
          <w:szCs w:val="21"/>
          <w:highlight w:val="none"/>
        </w:rPr>
        <w:t>（大写：</w:t>
      </w:r>
      <w:r>
        <w:rPr>
          <w:rFonts w:hint="eastAsia" w:hAnsi="宋体"/>
          <w:b/>
          <w:bCs/>
          <w:color w:val="auto"/>
          <w:sz w:val="21"/>
          <w:szCs w:val="21"/>
          <w:highlight w:val="none"/>
          <w:u w:val="single"/>
          <w:lang w:val="en-US" w:eastAsia="zh-CN"/>
        </w:rPr>
        <w:t>人民币叁万捌仟元整</w:t>
      </w:r>
      <w:r>
        <w:rPr>
          <w:rFonts w:hint="eastAsia" w:hAnsi="宋体"/>
          <w:color w:val="auto"/>
          <w:sz w:val="21"/>
          <w:szCs w:val="21"/>
          <w:highlight w:val="none"/>
        </w:rPr>
        <w:t>），</w:t>
      </w:r>
      <w:r>
        <w:rPr>
          <w:rFonts w:hint="eastAsia" w:hAnsi="宋体"/>
          <w:sz w:val="21"/>
          <w:szCs w:val="21"/>
          <w:highlight w:val="none"/>
          <w:lang w:eastAsia="zh-CN"/>
        </w:rPr>
        <w:t>投标人</w:t>
      </w:r>
      <w:r>
        <w:rPr>
          <w:rFonts w:hint="eastAsia" w:hAnsi="宋体"/>
          <w:sz w:val="21"/>
          <w:szCs w:val="21"/>
          <w:highlight w:val="none"/>
          <w:lang w:val="en-US" w:eastAsia="zh-CN"/>
        </w:rPr>
        <w:t>/</w:t>
      </w:r>
      <w:r>
        <w:rPr>
          <w:rFonts w:hint="eastAsia" w:hAnsi="宋体"/>
          <w:sz w:val="21"/>
          <w:szCs w:val="21"/>
          <w:highlight w:val="none"/>
        </w:rPr>
        <w:t>供应商</w:t>
      </w:r>
      <w:r>
        <w:rPr>
          <w:rFonts w:hint="eastAsia" w:hAnsi="宋体"/>
          <w:color w:val="auto"/>
          <w:sz w:val="21"/>
          <w:szCs w:val="21"/>
          <w:highlight w:val="none"/>
          <w:lang w:eastAsia="zh-CN"/>
        </w:rPr>
        <w:t>应在</w:t>
      </w:r>
      <w:r>
        <w:rPr>
          <w:rFonts w:hint="eastAsia" w:hAnsi="宋体"/>
          <w:sz w:val="21"/>
          <w:szCs w:val="21"/>
          <w:highlight w:val="none"/>
          <w:lang w:val="en-US" w:eastAsia="zh-CN"/>
        </w:rPr>
        <w:t>2020</w:t>
      </w:r>
      <w:r>
        <w:rPr>
          <w:rFonts w:hint="eastAsia" w:hAnsi="宋体"/>
          <w:sz w:val="21"/>
          <w:szCs w:val="21"/>
          <w:highlight w:val="none"/>
        </w:rPr>
        <w:t>年</w:t>
      </w:r>
      <w:r>
        <w:rPr>
          <w:rFonts w:hint="eastAsia" w:hAnsi="宋体"/>
          <w:sz w:val="21"/>
          <w:szCs w:val="21"/>
          <w:highlight w:val="none"/>
          <w:lang w:val="en-US" w:eastAsia="zh-CN"/>
        </w:rPr>
        <w:t xml:space="preserve">  </w:t>
      </w:r>
      <w:r>
        <w:rPr>
          <w:rFonts w:hint="eastAsia" w:hAnsi="宋体"/>
          <w:sz w:val="21"/>
          <w:szCs w:val="21"/>
          <w:highlight w:val="none"/>
        </w:rPr>
        <w:t xml:space="preserve"> 月</w:t>
      </w:r>
      <w:r>
        <w:rPr>
          <w:rFonts w:hint="eastAsia" w:hAnsi="宋体"/>
          <w:sz w:val="21"/>
          <w:szCs w:val="21"/>
          <w:highlight w:val="none"/>
          <w:lang w:val="en-US" w:eastAsia="zh-CN"/>
        </w:rPr>
        <w:t xml:space="preserve">  </w:t>
      </w:r>
      <w:r>
        <w:rPr>
          <w:rFonts w:hint="eastAsia" w:hAnsi="宋体"/>
          <w:sz w:val="21"/>
          <w:szCs w:val="21"/>
          <w:highlight w:val="none"/>
        </w:rPr>
        <w:t xml:space="preserve">  日</w:t>
      </w:r>
      <w:r>
        <w:rPr>
          <w:rFonts w:hint="eastAsia" w:hAnsi="宋体"/>
          <w:sz w:val="21"/>
          <w:szCs w:val="21"/>
          <w:highlight w:val="none"/>
          <w:lang w:val="en-US" w:eastAsia="zh-CN"/>
        </w:rPr>
        <w:t xml:space="preserve">   </w:t>
      </w:r>
      <w:r>
        <w:rPr>
          <w:rFonts w:hint="eastAsia" w:hAnsi="宋体"/>
          <w:b w:val="0"/>
          <w:bCs w:val="0"/>
          <w:sz w:val="21"/>
          <w:szCs w:val="21"/>
          <w:highlight w:val="none"/>
          <w:lang w:val="en-US" w:eastAsia="zh-CN"/>
        </w:rPr>
        <w:t xml:space="preserve"> </w:t>
      </w:r>
      <w:r>
        <w:rPr>
          <w:rFonts w:hint="eastAsia" w:hAnsi="宋体"/>
          <w:b w:val="0"/>
          <w:bCs w:val="0"/>
          <w:color w:val="auto"/>
          <w:sz w:val="21"/>
          <w:szCs w:val="21"/>
          <w:highlight w:val="none"/>
        </w:rPr>
        <w:t>时</w:t>
      </w:r>
      <w:r>
        <w:rPr>
          <w:rFonts w:hint="eastAsia" w:hAnsi="宋体"/>
          <w:b w:val="0"/>
          <w:bCs w:val="0"/>
          <w:color w:val="auto"/>
          <w:sz w:val="21"/>
          <w:szCs w:val="21"/>
          <w:highlight w:val="none"/>
          <w:lang w:val="en-US" w:eastAsia="zh-CN"/>
        </w:rPr>
        <w:t xml:space="preserve"> </w:t>
      </w:r>
      <w:r>
        <w:rPr>
          <w:rFonts w:hint="eastAsia" w:hAnsi="宋体"/>
          <w:b/>
          <w:bCs/>
          <w:color w:val="auto"/>
          <w:sz w:val="21"/>
          <w:szCs w:val="21"/>
          <w:highlight w:val="none"/>
          <w:lang w:val="en-US" w:eastAsia="zh-CN"/>
        </w:rPr>
        <w:t xml:space="preserve">  </w:t>
      </w:r>
      <w:r>
        <w:rPr>
          <w:rFonts w:hint="eastAsia" w:hAnsi="宋体"/>
          <w:b/>
          <w:bCs/>
          <w:color w:val="auto"/>
          <w:sz w:val="21"/>
          <w:szCs w:val="21"/>
          <w:highlight w:val="none"/>
          <w:lang w:eastAsia="zh-CN"/>
        </w:rPr>
        <w:t>分</w:t>
      </w:r>
      <w:r>
        <w:rPr>
          <w:rFonts w:hint="eastAsia" w:hAnsi="宋体"/>
          <w:b/>
          <w:bCs/>
          <w:color w:val="auto"/>
          <w:sz w:val="21"/>
          <w:szCs w:val="21"/>
          <w:highlight w:val="none"/>
          <w:lang w:val="en-US" w:eastAsia="zh-CN"/>
        </w:rPr>
        <w:t>前</w:t>
      </w:r>
      <w:r>
        <w:rPr>
          <w:rFonts w:hint="eastAsia" w:hAnsi="宋体"/>
          <w:color w:val="auto"/>
          <w:sz w:val="21"/>
          <w:szCs w:val="21"/>
          <w:highlight w:val="none"/>
          <w:lang w:eastAsia="zh-CN"/>
        </w:rPr>
        <w:t>缴纳投标保证金，</w:t>
      </w:r>
      <w:r>
        <w:rPr>
          <w:rFonts w:hint="eastAsia" w:ascii="宋体" w:hAnsi="宋体" w:eastAsia="宋体" w:cs="宋体"/>
          <w:b/>
          <w:bCs/>
          <w:i w:val="0"/>
          <w:caps w:val="0"/>
          <w:color w:val="000000"/>
          <w:spacing w:val="0"/>
          <w:sz w:val="21"/>
          <w:szCs w:val="21"/>
          <w:highlight w:val="none"/>
        </w:rPr>
        <w:t>投标保证金须从投标人基本账户缴交</w:t>
      </w:r>
      <w:r>
        <w:rPr>
          <w:rFonts w:hint="eastAsia" w:hAnsi="宋体"/>
          <w:color w:val="auto"/>
          <w:sz w:val="21"/>
          <w:szCs w:val="21"/>
          <w:highlight w:val="none"/>
          <w:lang w:eastAsia="zh-CN"/>
        </w:rPr>
        <w:t>。投标保证金账号由</w:t>
      </w:r>
      <w:r>
        <w:rPr>
          <w:rFonts w:hint="eastAsia" w:hAnsi="宋体"/>
          <w:sz w:val="21"/>
          <w:szCs w:val="21"/>
          <w:highlight w:val="none"/>
          <w:lang w:eastAsia="zh-CN"/>
        </w:rPr>
        <w:t>投标人</w:t>
      </w:r>
      <w:r>
        <w:rPr>
          <w:rFonts w:hint="eastAsia" w:hAnsi="宋体"/>
          <w:sz w:val="21"/>
          <w:szCs w:val="21"/>
          <w:highlight w:val="none"/>
          <w:lang w:val="en-US" w:eastAsia="zh-CN"/>
        </w:rPr>
        <w:t>/</w:t>
      </w:r>
      <w:r>
        <w:rPr>
          <w:rFonts w:hint="eastAsia" w:hAnsi="宋体"/>
          <w:sz w:val="21"/>
          <w:szCs w:val="21"/>
          <w:highlight w:val="none"/>
        </w:rPr>
        <w:t>供应商</w:t>
      </w:r>
      <w:r>
        <w:rPr>
          <w:rFonts w:hint="eastAsia" w:hAnsi="宋体"/>
          <w:color w:val="auto"/>
          <w:sz w:val="21"/>
          <w:szCs w:val="21"/>
          <w:highlight w:val="none"/>
          <w:lang w:eastAsia="zh-CN"/>
        </w:rPr>
        <w:t>通过综合交易系统申请并按照缴</w:t>
      </w:r>
      <w:r>
        <w:rPr>
          <w:rFonts w:hint="eastAsia" w:hAnsi="宋体"/>
          <w:color w:val="auto"/>
          <w:sz w:val="21"/>
          <w:szCs w:val="21"/>
          <w:highlight w:val="none"/>
          <w:shd w:val="clear" w:color="auto" w:fill="auto"/>
          <w:lang w:eastAsia="zh-CN"/>
        </w:rPr>
        <w:t>纳保证金通知书上内容缴纳。</w:t>
      </w:r>
      <w:r>
        <w:rPr>
          <w:rFonts w:hint="eastAsia" w:hAnsi="宋体"/>
          <w:b/>
          <w:bCs/>
          <w:color w:val="auto"/>
          <w:sz w:val="21"/>
          <w:szCs w:val="21"/>
          <w:highlight w:val="none"/>
          <w:shd w:val="clear" w:color="auto" w:fill="auto"/>
          <w:lang w:eastAsia="zh-CN"/>
        </w:rPr>
        <w:t>（如不按要求缴纳，视为无效保证金）</w:t>
      </w:r>
    </w:p>
    <w:p>
      <w:pPr>
        <w:keepNext w:val="0"/>
        <w:keepLines w:val="0"/>
        <w:pageBreakBefore w:val="0"/>
        <w:numPr>
          <w:ilvl w:val="0"/>
          <w:numId w:val="0"/>
        </w:numPr>
        <w:kinsoku/>
        <w:wordWrap/>
        <w:overflowPunct/>
        <w:topLinePunct w:val="0"/>
        <w:bidi w:val="0"/>
        <w:spacing w:line="432" w:lineRule="auto"/>
        <w:rPr>
          <w:rFonts w:hint="eastAsia" w:hAnsi="宋体"/>
          <w:color w:val="FF0000"/>
          <w:sz w:val="21"/>
          <w:szCs w:val="21"/>
          <w:highlight w:val="none"/>
          <w:shd w:val="clear" w:color="auto" w:fill="auto"/>
        </w:rPr>
      </w:pPr>
      <w:bookmarkStart w:id="14" w:name="OLE_LINK43"/>
      <w:r>
        <w:rPr>
          <w:rFonts w:hint="eastAsia" w:hAnsi="宋体"/>
          <w:color w:val="auto"/>
          <w:sz w:val="21"/>
          <w:szCs w:val="21"/>
          <w:highlight w:val="none"/>
          <w:shd w:val="clear" w:color="auto" w:fill="auto"/>
          <w:lang w:val="en-US" w:eastAsia="zh-CN"/>
        </w:rPr>
        <w:t xml:space="preserve">    </w:t>
      </w:r>
      <w:bookmarkEnd w:id="14"/>
      <w:r>
        <w:rPr>
          <w:rFonts w:hint="eastAsia" w:hAnsi="宋体"/>
          <w:color w:val="auto"/>
          <w:sz w:val="21"/>
          <w:szCs w:val="21"/>
          <w:highlight w:val="none"/>
          <w:shd w:val="clear" w:color="auto" w:fill="auto"/>
          <w:lang w:eastAsia="zh-CN"/>
        </w:rPr>
        <w:t>具体操作方法</w:t>
      </w:r>
      <w:bookmarkStart w:id="15" w:name="OLE_LINK21"/>
      <w:r>
        <w:rPr>
          <w:rFonts w:hint="eastAsia" w:hAnsi="宋体"/>
          <w:color w:val="auto"/>
          <w:sz w:val="21"/>
          <w:szCs w:val="21"/>
          <w:highlight w:val="none"/>
          <w:shd w:val="clear" w:color="auto" w:fill="auto"/>
          <w:lang w:eastAsia="zh-CN"/>
        </w:rPr>
        <w:t>请登录</w:t>
      </w:r>
      <w:bookmarkEnd w:id="15"/>
      <w:r>
        <w:rPr>
          <w:rFonts w:hint="eastAsia" w:hAnsi="宋体"/>
          <w:color w:val="auto"/>
          <w:sz w:val="21"/>
          <w:szCs w:val="21"/>
          <w:highlight w:val="none"/>
          <w:shd w:val="clear" w:color="auto" w:fill="auto"/>
          <w:lang w:eastAsia="zh-CN"/>
        </w:rPr>
        <w:t>“中山市公共资源交易网</w:t>
      </w:r>
      <w:bookmarkStart w:id="16" w:name="OLE_LINK45"/>
      <w:r>
        <w:rPr>
          <w:rFonts w:hint="eastAsia" w:hAnsi="宋体"/>
          <w:color w:val="auto"/>
          <w:sz w:val="21"/>
          <w:szCs w:val="21"/>
          <w:highlight w:val="none"/>
          <w:shd w:val="clear" w:color="auto" w:fill="auto"/>
          <w:lang w:eastAsia="zh-CN"/>
        </w:rPr>
        <w:t>&gt;&gt;</w:t>
      </w:r>
      <w:bookmarkEnd w:id="16"/>
      <w:r>
        <w:rPr>
          <w:rFonts w:hint="eastAsia" w:hAnsi="宋体"/>
          <w:color w:val="auto"/>
          <w:sz w:val="21"/>
          <w:szCs w:val="21"/>
          <w:highlight w:val="none"/>
          <w:shd w:val="clear" w:color="auto" w:fill="auto"/>
          <w:lang w:eastAsia="zh-CN"/>
        </w:rPr>
        <w:t>服务指南&gt;&gt;</w:t>
      </w:r>
      <w:bookmarkStart w:id="17" w:name="OLE_LINK20"/>
      <w:r>
        <w:rPr>
          <w:rFonts w:hint="eastAsia" w:hAnsi="宋体"/>
          <w:color w:val="auto"/>
          <w:sz w:val="21"/>
          <w:szCs w:val="21"/>
          <w:highlight w:val="none"/>
          <w:shd w:val="clear" w:color="auto" w:fill="auto"/>
          <w:lang w:eastAsia="zh-CN"/>
        </w:rPr>
        <w:t>资料下载&gt;&gt;</w:t>
      </w:r>
      <w:bookmarkEnd w:id="17"/>
      <w:r>
        <w:rPr>
          <w:rFonts w:hint="eastAsia" w:hAnsi="宋体"/>
          <w:color w:val="auto"/>
          <w:sz w:val="21"/>
          <w:szCs w:val="21"/>
          <w:highlight w:val="none"/>
          <w:shd w:val="clear" w:color="auto" w:fill="auto"/>
          <w:lang w:eastAsia="zh-CN"/>
        </w:rPr>
        <w:t>下载招标采购管理-投标企业操作手册V1.1。</w:t>
      </w:r>
      <w:r>
        <w:rPr>
          <w:rFonts w:hint="eastAsia" w:hAnsi="宋体"/>
          <w:color w:val="auto"/>
          <w:sz w:val="21"/>
          <w:szCs w:val="21"/>
          <w:highlight w:val="none"/>
          <w:shd w:val="clear" w:color="auto" w:fill="auto"/>
        </w:rPr>
        <w:t xml:space="preserve">   </w:t>
      </w:r>
      <w:bookmarkEnd w:id="13"/>
      <w:r>
        <w:rPr>
          <w:rFonts w:hint="eastAsia" w:hAnsi="宋体"/>
          <w:color w:val="FF0000"/>
          <w:sz w:val="21"/>
          <w:szCs w:val="21"/>
          <w:highlight w:val="none"/>
          <w:shd w:val="clear" w:color="auto" w:fill="auto"/>
        </w:rPr>
        <w:t xml:space="preserve">       </w:t>
      </w:r>
    </w:p>
    <w:p>
      <w:pPr>
        <w:keepNext w:val="0"/>
        <w:keepLines w:val="0"/>
        <w:pageBreakBefore w:val="0"/>
        <w:kinsoku/>
        <w:wordWrap/>
        <w:overflowPunct/>
        <w:topLinePunct w:val="0"/>
        <w:bidi w:val="0"/>
        <w:spacing w:line="432" w:lineRule="auto"/>
        <w:ind w:left="480" w:hanging="422" w:hangingChars="200"/>
        <w:rPr>
          <w:rFonts w:hint="eastAsia" w:hAnsi="宋体"/>
          <w:sz w:val="21"/>
          <w:szCs w:val="21"/>
          <w:highlight w:val="none"/>
          <w:shd w:val="clear" w:color="auto" w:fill="auto"/>
        </w:rPr>
      </w:pPr>
      <w:r>
        <w:rPr>
          <w:rFonts w:hint="eastAsia" w:hAnsi="宋体"/>
          <w:b/>
          <w:bCs/>
          <w:sz w:val="21"/>
          <w:szCs w:val="21"/>
          <w:highlight w:val="none"/>
          <w:shd w:val="clear" w:color="auto" w:fill="auto"/>
          <w:lang w:eastAsia="zh-CN"/>
        </w:rPr>
        <w:t>十</w:t>
      </w:r>
      <w:r>
        <w:rPr>
          <w:rFonts w:hint="eastAsia" w:hAnsi="宋体"/>
          <w:b/>
          <w:bCs/>
          <w:sz w:val="21"/>
          <w:szCs w:val="21"/>
          <w:highlight w:val="none"/>
          <w:shd w:val="clear" w:color="auto" w:fill="auto"/>
        </w:rPr>
        <w:t>、递交投标文件时间：</w:t>
      </w:r>
      <w:r>
        <w:rPr>
          <w:rFonts w:hint="eastAsia"/>
          <w:b/>
          <w:bCs/>
          <w:sz w:val="21"/>
          <w:szCs w:val="21"/>
          <w:highlight w:val="none"/>
          <w:shd w:val="clear" w:color="auto" w:fill="FFFFFF"/>
        </w:rPr>
        <w:t>20</w:t>
      </w:r>
      <w:r>
        <w:rPr>
          <w:rFonts w:hint="eastAsia"/>
          <w:b/>
          <w:bCs/>
          <w:sz w:val="21"/>
          <w:szCs w:val="21"/>
          <w:highlight w:val="none"/>
          <w:shd w:val="clear" w:color="auto" w:fill="FFFFFF"/>
          <w:lang w:val="en-US" w:eastAsia="zh-CN"/>
        </w:rPr>
        <w:t>20</w:t>
      </w:r>
      <w:r>
        <w:rPr>
          <w:rFonts w:hint="eastAsia"/>
          <w:b/>
          <w:bCs/>
          <w:sz w:val="21"/>
          <w:szCs w:val="21"/>
          <w:highlight w:val="none"/>
          <w:shd w:val="clear" w:color="auto" w:fill="FFFFFF"/>
        </w:rPr>
        <w:t xml:space="preserve">年  </w:t>
      </w:r>
      <w:r>
        <w:rPr>
          <w:rFonts w:hint="eastAsia"/>
          <w:b/>
          <w:bCs/>
          <w:sz w:val="21"/>
          <w:szCs w:val="21"/>
          <w:highlight w:val="none"/>
          <w:shd w:val="clear" w:color="auto" w:fill="FFFFFF"/>
          <w:lang w:val="en-US" w:eastAsia="zh-CN"/>
        </w:rPr>
        <w:t xml:space="preserve"> </w:t>
      </w:r>
      <w:r>
        <w:rPr>
          <w:rFonts w:hint="eastAsia"/>
          <w:b/>
          <w:bCs/>
          <w:sz w:val="21"/>
          <w:szCs w:val="21"/>
          <w:highlight w:val="none"/>
          <w:shd w:val="clear" w:color="auto" w:fill="FFFFFF"/>
        </w:rPr>
        <w:t xml:space="preserve"> 月   日9时00分至09时30分</w:t>
      </w:r>
    </w:p>
    <w:p>
      <w:pPr>
        <w:keepNext w:val="0"/>
        <w:keepLines w:val="0"/>
        <w:pageBreakBefore w:val="0"/>
        <w:kinsoku/>
        <w:wordWrap/>
        <w:overflowPunct/>
        <w:topLinePunct w:val="0"/>
        <w:bidi w:val="0"/>
        <w:spacing w:line="432" w:lineRule="auto"/>
        <w:ind w:left="480" w:hanging="422" w:hangingChars="200"/>
        <w:rPr>
          <w:rFonts w:hint="eastAsia" w:hAnsi="宋体"/>
          <w:sz w:val="21"/>
          <w:szCs w:val="21"/>
          <w:highlight w:val="none"/>
          <w:shd w:val="clear" w:color="auto" w:fill="auto"/>
        </w:rPr>
      </w:pPr>
      <w:r>
        <w:rPr>
          <w:rFonts w:hint="eastAsia" w:hAnsi="宋体"/>
          <w:b/>
          <w:bCs/>
          <w:sz w:val="21"/>
          <w:szCs w:val="21"/>
          <w:highlight w:val="none"/>
          <w:shd w:val="clear" w:color="auto" w:fill="auto"/>
          <w:lang w:eastAsia="zh-CN"/>
        </w:rPr>
        <w:t>十一</w:t>
      </w:r>
      <w:r>
        <w:rPr>
          <w:rFonts w:hint="eastAsia" w:hAnsi="宋体"/>
          <w:b/>
          <w:bCs/>
          <w:sz w:val="21"/>
          <w:szCs w:val="21"/>
          <w:highlight w:val="none"/>
          <w:shd w:val="clear" w:color="auto" w:fill="auto"/>
        </w:rPr>
        <w:t>、投标截止时间：</w:t>
      </w:r>
      <w:r>
        <w:rPr>
          <w:rFonts w:hint="eastAsia"/>
          <w:b/>
          <w:bCs/>
          <w:sz w:val="21"/>
          <w:szCs w:val="21"/>
          <w:highlight w:val="none"/>
          <w:shd w:val="clear" w:color="auto" w:fill="FFFFFF"/>
        </w:rPr>
        <w:t>20</w:t>
      </w:r>
      <w:r>
        <w:rPr>
          <w:rFonts w:hint="eastAsia"/>
          <w:b/>
          <w:bCs/>
          <w:sz w:val="21"/>
          <w:szCs w:val="21"/>
          <w:highlight w:val="none"/>
          <w:shd w:val="clear" w:color="auto" w:fill="FFFFFF"/>
          <w:lang w:val="en-US" w:eastAsia="zh-CN"/>
        </w:rPr>
        <w:t>20</w:t>
      </w:r>
      <w:r>
        <w:rPr>
          <w:rFonts w:hint="eastAsia"/>
          <w:b/>
          <w:bCs/>
          <w:sz w:val="21"/>
          <w:szCs w:val="21"/>
          <w:highlight w:val="none"/>
          <w:shd w:val="clear" w:color="auto" w:fill="FFFFFF"/>
        </w:rPr>
        <w:t xml:space="preserve">年  </w:t>
      </w:r>
      <w:r>
        <w:rPr>
          <w:rFonts w:hint="eastAsia"/>
          <w:b/>
          <w:bCs/>
          <w:sz w:val="21"/>
          <w:szCs w:val="21"/>
          <w:highlight w:val="none"/>
          <w:shd w:val="clear" w:color="auto" w:fill="FFFFFF"/>
          <w:lang w:val="en-US" w:eastAsia="zh-CN"/>
        </w:rPr>
        <w:t xml:space="preserve"> </w:t>
      </w:r>
      <w:r>
        <w:rPr>
          <w:rFonts w:hint="eastAsia"/>
          <w:b/>
          <w:bCs/>
          <w:sz w:val="21"/>
          <w:szCs w:val="21"/>
          <w:highlight w:val="none"/>
          <w:shd w:val="clear" w:color="auto" w:fill="FFFFFF"/>
        </w:rPr>
        <w:t xml:space="preserve"> 月  </w:t>
      </w:r>
      <w:r>
        <w:rPr>
          <w:rFonts w:hint="eastAsia"/>
          <w:b/>
          <w:bCs/>
          <w:sz w:val="21"/>
          <w:szCs w:val="21"/>
          <w:highlight w:val="none"/>
          <w:shd w:val="clear" w:color="auto" w:fill="FFFFFF"/>
          <w:lang w:val="en-US" w:eastAsia="zh-CN"/>
        </w:rPr>
        <w:t xml:space="preserve"> </w:t>
      </w:r>
      <w:r>
        <w:rPr>
          <w:rFonts w:hint="eastAsia"/>
          <w:b/>
          <w:bCs/>
          <w:sz w:val="21"/>
          <w:szCs w:val="21"/>
          <w:highlight w:val="none"/>
          <w:shd w:val="clear" w:color="auto" w:fill="FFFFFF"/>
        </w:rPr>
        <w:t xml:space="preserve"> 日9时00分至09时30分</w:t>
      </w:r>
    </w:p>
    <w:p>
      <w:pPr>
        <w:keepNext w:val="0"/>
        <w:keepLines w:val="0"/>
        <w:pageBreakBefore w:val="0"/>
        <w:kinsoku/>
        <w:wordWrap/>
        <w:overflowPunct/>
        <w:topLinePunct w:val="0"/>
        <w:bidi w:val="0"/>
        <w:spacing w:line="432" w:lineRule="auto"/>
        <w:ind w:left="480" w:hanging="422" w:hangingChars="200"/>
        <w:rPr>
          <w:rFonts w:hint="eastAsia" w:hAnsi="宋体"/>
          <w:sz w:val="21"/>
          <w:szCs w:val="21"/>
          <w:highlight w:val="none"/>
          <w:shd w:val="clear" w:color="auto" w:fill="auto"/>
        </w:rPr>
      </w:pPr>
      <w:r>
        <w:rPr>
          <w:rFonts w:hint="eastAsia" w:hAnsi="宋体"/>
          <w:b/>
          <w:bCs/>
          <w:sz w:val="21"/>
          <w:szCs w:val="21"/>
          <w:highlight w:val="none"/>
          <w:shd w:val="clear" w:color="auto" w:fill="auto"/>
          <w:lang w:eastAsia="zh-CN"/>
        </w:rPr>
        <w:t>十二</w:t>
      </w:r>
      <w:r>
        <w:rPr>
          <w:rFonts w:hint="eastAsia" w:hAnsi="宋体"/>
          <w:b/>
          <w:bCs/>
          <w:sz w:val="21"/>
          <w:szCs w:val="21"/>
          <w:highlight w:val="none"/>
          <w:shd w:val="clear" w:color="auto" w:fill="auto"/>
        </w:rPr>
        <w:t>、开标评标时间：</w:t>
      </w:r>
      <w:r>
        <w:rPr>
          <w:rFonts w:hint="eastAsia"/>
          <w:b/>
          <w:bCs/>
          <w:sz w:val="21"/>
          <w:szCs w:val="21"/>
          <w:highlight w:val="none"/>
          <w:shd w:val="clear" w:color="auto" w:fill="FFFFFF"/>
        </w:rPr>
        <w:t>20</w:t>
      </w:r>
      <w:r>
        <w:rPr>
          <w:rFonts w:hint="eastAsia"/>
          <w:b/>
          <w:bCs/>
          <w:sz w:val="21"/>
          <w:szCs w:val="21"/>
          <w:highlight w:val="none"/>
          <w:shd w:val="clear" w:color="auto" w:fill="FFFFFF"/>
          <w:lang w:val="en-US" w:eastAsia="zh-CN"/>
        </w:rPr>
        <w:t>20</w:t>
      </w:r>
      <w:r>
        <w:rPr>
          <w:rFonts w:hint="eastAsia"/>
          <w:b/>
          <w:bCs/>
          <w:sz w:val="21"/>
          <w:szCs w:val="21"/>
          <w:highlight w:val="none"/>
          <w:shd w:val="clear" w:color="auto" w:fill="FFFFFF"/>
        </w:rPr>
        <w:t>年   月   日9时00分至09时30分</w:t>
      </w:r>
    </w:p>
    <w:p>
      <w:pPr>
        <w:keepNext w:val="0"/>
        <w:keepLines w:val="0"/>
        <w:pageBreakBefore w:val="0"/>
        <w:kinsoku/>
        <w:wordWrap/>
        <w:overflowPunct/>
        <w:topLinePunct w:val="0"/>
        <w:bidi w:val="0"/>
        <w:spacing w:line="432" w:lineRule="auto"/>
        <w:rPr>
          <w:rFonts w:hint="eastAsia" w:hAnsi="宋体"/>
          <w:sz w:val="21"/>
          <w:szCs w:val="21"/>
          <w:highlight w:val="none"/>
        </w:rPr>
      </w:pPr>
      <w:r>
        <w:rPr>
          <w:rFonts w:hint="eastAsia" w:hAnsi="宋体"/>
          <w:b/>
          <w:bCs/>
          <w:sz w:val="21"/>
          <w:szCs w:val="21"/>
          <w:highlight w:val="none"/>
          <w:lang w:eastAsia="zh-CN"/>
        </w:rPr>
        <w:t>十三</w:t>
      </w:r>
      <w:r>
        <w:rPr>
          <w:rFonts w:hint="eastAsia" w:hAnsi="宋体"/>
          <w:b/>
          <w:bCs/>
          <w:sz w:val="21"/>
          <w:szCs w:val="21"/>
          <w:highlight w:val="none"/>
        </w:rPr>
        <w:t>、投标文件递交及开标评标地点：</w:t>
      </w:r>
      <w:r>
        <w:rPr>
          <w:rFonts w:hint="eastAsia" w:hAnsi="宋体"/>
          <w:sz w:val="21"/>
          <w:szCs w:val="21"/>
          <w:highlight w:val="none"/>
        </w:rPr>
        <w:t>中山市博爱六路22号行政服务中心二楼中山市公共资源交易中心（详见开标当天</w:t>
      </w:r>
      <w:r>
        <w:rPr>
          <w:rFonts w:hint="eastAsia" w:hAnsi="宋体"/>
          <w:b/>
          <w:bCs/>
          <w:sz w:val="21"/>
          <w:szCs w:val="21"/>
          <w:highlight w:val="none"/>
          <w:lang w:eastAsia="zh-CN"/>
        </w:rPr>
        <w:t>交易大厅</w:t>
      </w:r>
      <w:r>
        <w:rPr>
          <w:rFonts w:hint="eastAsia" w:hAnsi="宋体"/>
          <w:sz w:val="21"/>
          <w:szCs w:val="21"/>
          <w:highlight w:val="none"/>
        </w:rPr>
        <w:t>开标室安排）。</w:t>
      </w:r>
    </w:p>
    <w:p>
      <w:pPr>
        <w:keepNext w:val="0"/>
        <w:keepLines w:val="0"/>
        <w:pageBreakBefore w:val="0"/>
        <w:tabs>
          <w:tab w:val="left" w:pos="424"/>
        </w:tabs>
        <w:kinsoku/>
        <w:wordWrap/>
        <w:overflowPunct/>
        <w:topLinePunct w:val="0"/>
        <w:bidi w:val="0"/>
        <w:spacing w:line="432" w:lineRule="auto"/>
        <w:ind w:left="413" w:hanging="413" w:hangingChars="196"/>
        <w:rPr>
          <w:rFonts w:hint="eastAsia" w:ascii="宋体" w:hAnsi="宋体"/>
          <w:sz w:val="21"/>
          <w:szCs w:val="21"/>
          <w:highlight w:val="none"/>
        </w:rPr>
      </w:pPr>
      <w:r>
        <w:rPr>
          <w:rFonts w:hint="eastAsia" w:ascii="宋体" w:hAnsi="宋体"/>
          <w:b/>
          <w:sz w:val="21"/>
          <w:szCs w:val="21"/>
          <w:highlight w:val="none"/>
        </w:rPr>
        <w:t>十四、开标要求。</w:t>
      </w:r>
      <w:r>
        <w:rPr>
          <w:rFonts w:hint="eastAsia" w:ascii="宋体" w:hAnsi="宋体"/>
          <w:sz w:val="21"/>
          <w:szCs w:val="21"/>
          <w:highlight w:val="none"/>
        </w:rPr>
        <w:t>本次招标在本招标文件规定的时间和地点公开开标，投标人法定代表或其授权代表人必须携带本人身份证原件出席开标会。</w:t>
      </w:r>
    </w:p>
    <w:p>
      <w:pPr>
        <w:keepNext w:val="0"/>
        <w:keepLines w:val="0"/>
        <w:pageBreakBefore w:val="0"/>
        <w:kinsoku/>
        <w:wordWrap/>
        <w:overflowPunct/>
        <w:topLinePunct w:val="0"/>
        <w:bidi w:val="0"/>
        <w:spacing w:line="432" w:lineRule="auto"/>
        <w:rPr>
          <w:rFonts w:hint="eastAsia" w:ascii="宋体" w:hAnsi="宋体" w:cs="宋体"/>
          <w:szCs w:val="21"/>
        </w:rPr>
      </w:pPr>
      <w:r>
        <w:rPr>
          <w:rFonts w:hint="eastAsia" w:ascii="宋体" w:hAnsi="宋体"/>
          <w:sz w:val="21"/>
          <w:szCs w:val="21"/>
          <w:highlight w:val="none"/>
        </w:rPr>
        <w:t>【温馨提示：由于开标当天须于开标现场在中山市公共资源交易网进行网上签到，投标人请于投标时携带数字证书进行网上签到</w:t>
      </w:r>
      <w:r>
        <w:rPr>
          <w:rFonts w:hint="eastAsia" w:ascii="宋体" w:hAnsi="宋体"/>
          <w:b/>
          <w:sz w:val="21"/>
          <w:szCs w:val="21"/>
          <w:highlight w:val="none"/>
        </w:rPr>
        <w:t>或</w:t>
      </w:r>
      <w:r>
        <w:rPr>
          <w:rFonts w:hint="eastAsia" w:ascii="宋体" w:hAnsi="宋体"/>
          <w:b/>
          <w:kern w:val="0"/>
          <w:sz w:val="21"/>
          <w:szCs w:val="21"/>
          <w:highlight w:val="none"/>
        </w:rPr>
        <w:t>由投标人登记备案时录入指纹的人员进行指纹签到或身份证签到</w:t>
      </w:r>
      <w:r>
        <w:rPr>
          <w:rFonts w:hint="eastAsia" w:ascii="宋体" w:hAnsi="宋体"/>
          <w:sz w:val="21"/>
          <w:szCs w:val="21"/>
          <w:highlight w:val="none"/>
        </w:rPr>
        <w:t>。(为确保签到顺利，建议投标人携带数字证书进行签到)】</w:t>
      </w:r>
    </w:p>
    <w:p>
      <w:pPr>
        <w:keepNext w:val="0"/>
        <w:keepLines w:val="0"/>
        <w:pageBreakBefore w:val="0"/>
        <w:kinsoku/>
        <w:wordWrap/>
        <w:overflowPunct/>
        <w:topLinePunct w:val="0"/>
        <w:bidi w:val="0"/>
        <w:spacing w:line="432" w:lineRule="auto"/>
        <w:ind w:left="1"/>
        <w:rPr>
          <w:rFonts w:hint="eastAsia" w:ascii="宋体" w:hAnsi="宋体"/>
          <w:szCs w:val="21"/>
        </w:rPr>
      </w:pPr>
      <w:r>
        <w:rPr>
          <w:rFonts w:hint="eastAsia" w:ascii="宋体" w:hAnsi="宋体"/>
          <w:b/>
          <w:szCs w:val="21"/>
        </w:rPr>
        <w:t>十</w:t>
      </w:r>
      <w:r>
        <w:rPr>
          <w:rFonts w:hint="eastAsia" w:ascii="宋体" w:hAnsi="宋体"/>
          <w:b/>
          <w:szCs w:val="21"/>
          <w:lang w:eastAsia="zh-CN"/>
        </w:rPr>
        <w:t>五</w:t>
      </w:r>
      <w:r>
        <w:rPr>
          <w:rFonts w:hint="eastAsia" w:ascii="宋体" w:hAnsi="宋体"/>
          <w:b/>
          <w:szCs w:val="21"/>
        </w:rPr>
        <w:t>、招标人、主管部门、招标代理机构的名称、地址和联系方式：</w:t>
      </w:r>
    </w:p>
    <w:p>
      <w:pPr>
        <w:keepNext w:val="0"/>
        <w:keepLines w:val="0"/>
        <w:pageBreakBefore w:val="0"/>
        <w:widowControl w:val="0"/>
        <w:numPr>
          <w:ilvl w:val="0"/>
          <w:numId w:val="12"/>
        </w:numPr>
        <w:kinsoku/>
        <w:wordWrap/>
        <w:overflowPunct/>
        <w:topLinePunct w:val="0"/>
        <w:bidi w:val="0"/>
        <w:adjustRightInd w:val="0"/>
        <w:snapToGrid w:val="0"/>
        <w:spacing w:line="432" w:lineRule="auto"/>
        <w:jc w:val="both"/>
        <w:rPr>
          <w:rFonts w:hint="eastAsia" w:ascii="宋体" w:hAnsi="宋体"/>
          <w:b/>
          <w:szCs w:val="21"/>
        </w:rPr>
      </w:pPr>
      <w:r>
        <w:rPr>
          <w:rFonts w:hint="eastAsia" w:ascii="宋体" w:hAnsi="宋体"/>
          <w:b/>
          <w:szCs w:val="21"/>
        </w:rPr>
        <w:t>招标人联系方式</w:t>
      </w:r>
    </w:p>
    <w:p>
      <w:pPr>
        <w:keepNext w:val="0"/>
        <w:keepLines w:val="0"/>
        <w:pageBreakBefore w:val="0"/>
        <w:tabs>
          <w:tab w:val="left" w:pos="567"/>
          <w:tab w:val="left" w:pos="1890"/>
        </w:tabs>
        <w:kinsoku/>
        <w:wordWrap/>
        <w:overflowPunct/>
        <w:topLinePunct w:val="0"/>
        <w:autoSpaceDE w:val="0"/>
        <w:autoSpaceDN w:val="0"/>
        <w:bidi w:val="0"/>
        <w:spacing w:line="432" w:lineRule="auto"/>
        <w:ind w:firstLine="420" w:firstLineChars="200"/>
        <w:textAlignment w:val="bottom"/>
        <w:rPr>
          <w:rFonts w:hint="eastAsia"/>
          <w:kern w:val="28"/>
        </w:rPr>
      </w:pPr>
      <w:r>
        <w:rPr>
          <w:rFonts w:hint="eastAsia"/>
          <w:kern w:val="28"/>
        </w:rPr>
        <w:t>招</w:t>
      </w:r>
      <w:r>
        <w:rPr>
          <w:rFonts w:hint="eastAsia"/>
          <w:kern w:val="28"/>
          <w:lang w:val="en-US" w:eastAsia="zh-CN"/>
        </w:rPr>
        <w:t xml:space="preserve">  </w:t>
      </w:r>
      <w:r>
        <w:rPr>
          <w:rFonts w:hint="eastAsia"/>
          <w:kern w:val="28"/>
        </w:rPr>
        <w:t>标</w:t>
      </w:r>
      <w:r>
        <w:rPr>
          <w:rFonts w:hint="eastAsia"/>
          <w:kern w:val="28"/>
          <w:lang w:val="en-US" w:eastAsia="zh-CN"/>
        </w:rPr>
        <w:t xml:space="preserve"> </w:t>
      </w:r>
      <w:r>
        <w:rPr>
          <w:rFonts w:hint="eastAsia"/>
          <w:kern w:val="28"/>
        </w:rPr>
        <w:t>人：中山市坦洲镇污水处理有限公司</w:t>
      </w:r>
    </w:p>
    <w:p>
      <w:pPr>
        <w:keepNext w:val="0"/>
        <w:keepLines w:val="0"/>
        <w:pageBreakBefore w:val="0"/>
        <w:tabs>
          <w:tab w:val="left" w:pos="567"/>
          <w:tab w:val="left" w:pos="1890"/>
        </w:tabs>
        <w:kinsoku/>
        <w:wordWrap/>
        <w:overflowPunct/>
        <w:topLinePunct w:val="0"/>
        <w:autoSpaceDE w:val="0"/>
        <w:autoSpaceDN w:val="0"/>
        <w:bidi w:val="0"/>
        <w:spacing w:line="432" w:lineRule="auto"/>
        <w:ind w:firstLine="420" w:firstLineChars="200"/>
        <w:textAlignment w:val="bottom"/>
        <w:rPr>
          <w:rFonts w:hint="eastAsia"/>
          <w:kern w:val="28"/>
        </w:rPr>
      </w:pPr>
      <w:r>
        <w:rPr>
          <w:rFonts w:hint="eastAsia"/>
          <w:kern w:val="28"/>
        </w:rPr>
        <w:t>联</w:t>
      </w:r>
      <w:r>
        <w:rPr>
          <w:rFonts w:hint="eastAsia"/>
          <w:kern w:val="28"/>
          <w:lang w:val="en-US" w:eastAsia="zh-CN"/>
        </w:rPr>
        <w:t xml:space="preserve">  </w:t>
      </w:r>
      <w:r>
        <w:rPr>
          <w:rFonts w:hint="eastAsia"/>
          <w:kern w:val="28"/>
        </w:rPr>
        <w:t>系</w:t>
      </w:r>
      <w:r>
        <w:rPr>
          <w:rFonts w:hint="eastAsia"/>
          <w:kern w:val="28"/>
          <w:lang w:val="en-US" w:eastAsia="zh-CN"/>
        </w:rPr>
        <w:t xml:space="preserve"> </w:t>
      </w:r>
      <w:r>
        <w:rPr>
          <w:rFonts w:hint="eastAsia"/>
          <w:kern w:val="28"/>
        </w:rPr>
        <w:t>人：陈先生</w:t>
      </w:r>
    </w:p>
    <w:p>
      <w:pPr>
        <w:keepNext w:val="0"/>
        <w:keepLines w:val="0"/>
        <w:pageBreakBefore w:val="0"/>
        <w:kinsoku/>
        <w:wordWrap/>
        <w:overflowPunct/>
        <w:topLinePunct w:val="0"/>
        <w:bidi w:val="0"/>
        <w:spacing w:line="432" w:lineRule="auto"/>
        <w:ind w:firstLine="420" w:firstLineChars="200"/>
        <w:rPr>
          <w:rFonts w:hint="eastAsia" w:ascii="宋体" w:hAnsi="宋体"/>
          <w:szCs w:val="21"/>
        </w:rPr>
      </w:pPr>
      <w:r>
        <w:rPr>
          <w:rFonts w:hint="eastAsia"/>
          <w:kern w:val="28"/>
        </w:rPr>
        <w:t>联系电话：0760-86639336</w:t>
      </w:r>
    </w:p>
    <w:p>
      <w:pPr>
        <w:keepNext w:val="0"/>
        <w:keepLines w:val="0"/>
        <w:pageBreakBefore w:val="0"/>
        <w:numPr>
          <w:ilvl w:val="0"/>
          <w:numId w:val="13"/>
        </w:numPr>
        <w:kinsoku/>
        <w:wordWrap/>
        <w:overflowPunct/>
        <w:topLinePunct w:val="0"/>
        <w:bidi w:val="0"/>
        <w:spacing w:line="432" w:lineRule="auto"/>
        <w:rPr>
          <w:rFonts w:hint="eastAsia" w:ascii="宋体" w:hAnsi="宋体"/>
          <w:b/>
          <w:bCs/>
          <w:szCs w:val="21"/>
        </w:rPr>
      </w:pPr>
      <w:r>
        <w:rPr>
          <w:rFonts w:hint="eastAsia" w:ascii="宋体" w:hAnsi="宋体"/>
          <w:b/>
          <w:bCs/>
          <w:szCs w:val="21"/>
        </w:rPr>
        <w:t>主管部门联系方式</w:t>
      </w:r>
    </w:p>
    <w:p>
      <w:pPr>
        <w:keepNext w:val="0"/>
        <w:keepLines w:val="0"/>
        <w:pageBreakBefore w:val="0"/>
        <w:numPr>
          <w:ilvl w:val="0"/>
          <w:numId w:val="14"/>
        </w:numPr>
        <w:tabs>
          <w:tab w:val="left" w:pos="567"/>
          <w:tab w:val="left" w:pos="1890"/>
        </w:tabs>
        <w:kinsoku/>
        <w:wordWrap/>
        <w:overflowPunct/>
        <w:topLinePunct w:val="0"/>
        <w:autoSpaceDE w:val="0"/>
        <w:autoSpaceDN w:val="0"/>
        <w:bidi w:val="0"/>
        <w:spacing w:line="432" w:lineRule="auto"/>
        <w:textAlignment w:val="bottom"/>
        <w:rPr>
          <w:rFonts w:hint="eastAsia"/>
          <w:kern w:val="28"/>
        </w:rPr>
      </w:pPr>
      <w:r>
        <w:rPr>
          <w:rFonts w:hint="eastAsia"/>
          <w:kern w:val="28"/>
        </w:rPr>
        <w:t>监管部门：中山市坦洲镇公有资产管理</w:t>
      </w:r>
      <w:r>
        <w:rPr>
          <w:rFonts w:hint="eastAsia"/>
          <w:kern w:val="28"/>
          <w:lang w:eastAsia="zh-CN"/>
        </w:rPr>
        <w:t>领导小组</w:t>
      </w:r>
      <w:r>
        <w:rPr>
          <w:rFonts w:hint="eastAsia"/>
          <w:kern w:val="28"/>
        </w:rPr>
        <w:t>办公室</w:t>
      </w:r>
    </w:p>
    <w:p>
      <w:pPr>
        <w:keepNext w:val="0"/>
        <w:keepLines w:val="0"/>
        <w:pageBreakBefore w:val="0"/>
        <w:tabs>
          <w:tab w:val="left" w:pos="567"/>
          <w:tab w:val="left" w:pos="1890"/>
        </w:tabs>
        <w:kinsoku/>
        <w:wordWrap/>
        <w:overflowPunct/>
        <w:topLinePunct w:val="0"/>
        <w:autoSpaceDE w:val="0"/>
        <w:autoSpaceDN w:val="0"/>
        <w:bidi w:val="0"/>
        <w:spacing w:line="432" w:lineRule="auto"/>
        <w:ind w:firstLine="420" w:firstLineChars="200"/>
        <w:textAlignment w:val="bottom"/>
        <w:rPr>
          <w:rFonts w:hint="eastAsia"/>
          <w:kern w:val="28"/>
        </w:rPr>
      </w:pPr>
      <w:r>
        <w:rPr>
          <w:rFonts w:hint="eastAsia"/>
          <w:kern w:val="28"/>
        </w:rPr>
        <w:t xml:space="preserve">地  </w:t>
      </w:r>
      <w:r>
        <w:rPr>
          <w:rFonts w:hint="eastAsia"/>
          <w:kern w:val="28"/>
          <w:lang w:val="en-US" w:eastAsia="zh-CN"/>
        </w:rPr>
        <w:t xml:space="preserve">  </w:t>
      </w:r>
      <w:r>
        <w:rPr>
          <w:rFonts w:hint="eastAsia"/>
          <w:kern w:val="28"/>
        </w:rPr>
        <w:t>址：中山市坦洲镇工业大道70号副楼303室</w:t>
      </w:r>
    </w:p>
    <w:p>
      <w:pPr>
        <w:keepNext w:val="0"/>
        <w:keepLines w:val="0"/>
        <w:pageBreakBefore w:val="0"/>
        <w:tabs>
          <w:tab w:val="left" w:pos="567"/>
          <w:tab w:val="left" w:pos="1890"/>
        </w:tabs>
        <w:kinsoku/>
        <w:wordWrap/>
        <w:overflowPunct/>
        <w:topLinePunct w:val="0"/>
        <w:autoSpaceDE w:val="0"/>
        <w:autoSpaceDN w:val="0"/>
        <w:bidi w:val="0"/>
        <w:spacing w:line="432" w:lineRule="auto"/>
        <w:ind w:firstLine="420" w:firstLineChars="200"/>
        <w:textAlignment w:val="bottom"/>
        <w:rPr>
          <w:rFonts w:hint="eastAsia"/>
          <w:kern w:val="28"/>
        </w:rPr>
      </w:pPr>
      <w:r>
        <w:rPr>
          <w:rFonts w:hint="eastAsia"/>
          <w:kern w:val="28"/>
        </w:rPr>
        <w:t>联系人：谭燕茹</w:t>
      </w:r>
    </w:p>
    <w:p>
      <w:pPr>
        <w:keepNext w:val="0"/>
        <w:keepLines w:val="0"/>
        <w:pageBreakBefore w:val="0"/>
        <w:kinsoku/>
        <w:wordWrap/>
        <w:overflowPunct/>
        <w:topLinePunct w:val="0"/>
        <w:bidi w:val="0"/>
        <w:spacing w:line="432" w:lineRule="auto"/>
        <w:ind w:firstLine="420" w:firstLineChars="200"/>
        <w:rPr>
          <w:rFonts w:hint="eastAsia" w:ascii="宋体" w:hAnsi="宋体"/>
          <w:szCs w:val="21"/>
        </w:rPr>
      </w:pPr>
      <w:r>
        <w:rPr>
          <w:rFonts w:hint="eastAsia"/>
          <w:kern w:val="28"/>
        </w:rPr>
        <w:t>电</w:t>
      </w:r>
      <w:r>
        <w:rPr>
          <w:rFonts w:hint="eastAsia"/>
          <w:kern w:val="28"/>
          <w:lang w:val="en-US" w:eastAsia="zh-CN"/>
        </w:rPr>
        <w:t xml:space="preserve">  </w:t>
      </w:r>
      <w:r>
        <w:rPr>
          <w:rFonts w:hint="eastAsia"/>
          <w:kern w:val="28"/>
        </w:rPr>
        <w:t xml:space="preserve">  话：0760-86651809</w:t>
      </w:r>
    </w:p>
    <w:p>
      <w:pPr>
        <w:keepNext w:val="0"/>
        <w:keepLines w:val="0"/>
        <w:pageBreakBefore w:val="0"/>
        <w:kinsoku/>
        <w:wordWrap/>
        <w:overflowPunct/>
        <w:topLinePunct w:val="0"/>
        <w:bidi w:val="0"/>
        <w:spacing w:line="432" w:lineRule="auto"/>
        <w:rPr>
          <w:rFonts w:hint="eastAsia" w:ascii="宋体" w:hAnsi="宋体"/>
          <w:b/>
          <w:szCs w:val="21"/>
        </w:rPr>
      </w:pPr>
      <w:r>
        <w:rPr>
          <w:rFonts w:hint="eastAsia" w:ascii="宋体" w:hAnsi="宋体"/>
          <w:b/>
          <w:szCs w:val="21"/>
        </w:rPr>
        <w:t>3. 招标代理机构联系方式</w:t>
      </w:r>
    </w:p>
    <w:p>
      <w:pPr>
        <w:keepNext w:val="0"/>
        <w:keepLines w:val="0"/>
        <w:pageBreakBefore w:val="0"/>
        <w:kinsoku/>
        <w:wordWrap/>
        <w:overflowPunct/>
        <w:topLinePunct w:val="0"/>
        <w:bidi w:val="0"/>
        <w:spacing w:line="432" w:lineRule="auto"/>
        <w:ind w:firstLine="420"/>
        <w:rPr>
          <w:rFonts w:hint="eastAsia" w:ascii="宋体" w:hAnsi="宋体" w:eastAsia="宋体"/>
          <w:szCs w:val="21"/>
          <w:lang w:eastAsia="zh-CN"/>
        </w:rPr>
      </w:pPr>
      <w:r>
        <w:rPr>
          <w:rFonts w:hint="eastAsia" w:ascii="宋体" w:hAnsi="宋体"/>
          <w:szCs w:val="21"/>
        </w:rPr>
        <w:t>招标代理机构名称：</w:t>
      </w:r>
      <w:r>
        <w:rPr>
          <w:rFonts w:hint="eastAsia"/>
          <w:szCs w:val="22"/>
          <w:lang w:eastAsia="zh-CN"/>
        </w:rPr>
        <w:t>广东钧信建设管理有限公司中山分公司</w:t>
      </w:r>
    </w:p>
    <w:p>
      <w:pPr>
        <w:keepNext w:val="0"/>
        <w:keepLines w:val="0"/>
        <w:pageBreakBefore w:val="0"/>
        <w:kinsoku/>
        <w:wordWrap/>
        <w:overflowPunct/>
        <w:topLinePunct w:val="0"/>
        <w:bidi w:val="0"/>
        <w:spacing w:line="432" w:lineRule="auto"/>
        <w:ind w:firstLine="420"/>
        <w:rPr>
          <w:rFonts w:hint="eastAsia" w:ascii="宋体" w:hAnsi="宋体" w:eastAsia="宋体"/>
          <w:szCs w:val="21"/>
          <w:lang w:eastAsia="zh-CN"/>
        </w:rPr>
      </w:pPr>
      <w:r>
        <w:rPr>
          <w:rFonts w:hint="eastAsia" w:ascii="宋体" w:hAnsi="宋体"/>
          <w:szCs w:val="21"/>
        </w:rPr>
        <w:t>联</w:t>
      </w:r>
      <w:r>
        <w:rPr>
          <w:rFonts w:hint="eastAsia" w:ascii="宋体" w:hAnsi="宋体"/>
          <w:szCs w:val="21"/>
          <w:lang w:val="en-US" w:eastAsia="zh-CN"/>
        </w:rPr>
        <w:t xml:space="preserve"> </w:t>
      </w:r>
      <w:r>
        <w:rPr>
          <w:rFonts w:hint="eastAsia" w:ascii="宋体" w:hAnsi="宋体"/>
          <w:szCs w:val="21"/>
        </w:rPr>
        <w:t>系</w:t>
      </w:r>
      <w:r>
        <w:rPr>
          <w:rFonts w:hint="eastAsia" w:ascii="宋体" w:hAnsi="宋体"/>
          <w:szCs w:val="21"/>
          <w:lang w:val="en-US" w:eastAsia="zh-CN"/>
        </w:rPr>
        <w:t xml:space="preserve"> </w:t>
      </w:r>
      <w:r>
        <w:rPr>
          <w:rFonts w:hint="eastAsia" w:ascii="宋体" w:hAnsi="宋体"/>
          <w:szCs w:val="21"/>
        </w:rPr>
        <w:t>人：</w:t>
      </w:r>
      <w:r>
        <w:rPr>
          <w:rFonts w:hint="eastAsia" w:ascii="宋体" w:hAnsi="宋体"/>
          <w:szCs w:val="21"/>
          <w:lang w:eastAsia="zh-CN"/>
        </w:rPr>
        <w:t>梁先生</w:t>
      </w:r>
    </w:p>
    <w:p>
      <w:pPr>
        <w:keepNext w:val="0"/>
        <w:keepLines w:val="0"/>
        <w:pageBreakBefore w:val="0"/>
        <w:kinsoku/>
        <w:wordWrap/>
        <w:overflowPunct/>
        <w:topLinePunct w:val="0"/>
        <w:bidi w:val="0"/>
        <w:spacing w:line="432" w:lineRule="auto"/>
        <w:ind w:firstLine="420"/>
        <w:rPr>
          <w:rFonts w:hint="eastAsia" w:ascii="宋体" w:hAnsi="宋体" w:eastAsia="宋体"/>
          <w:szCs w:val="21"/>
          <w:lang w:val="en-US" w:eastAsia="zh-CN"/>
        </w:rPr>
      </w:pPr>
      <w:r>
        <w:rPr>
          <w:rFonts w:hint="eastAsia" w:ascii="宋体" w:hAnsi="宋体"/>
          <w:szCs w:val="21"/>
        </w:rPr>
        <w:t>地    址：</w:t>
      </w:r>
      <w:r>
        <w:rPr>
          <w:rFonts w:hint="eastAsia" w:ascii="宋体" w:hAnsi="宋体"/>
          <w:color w:val="auto"/>
          <w:szCs w:val="21"/>
          <w:highlight w:val="none"/>
          <w:u w:val="none"/>
          <w:lang w:eastAsia="zh-CN"/>
        </w:rPr>
        <w:t>中山市东区起湾银湾南路52号二层B4-1卡</w:t>
      </w:r>
    </w:p>
    <w:p>
      <w:pPr>
        <w:keepNext w:val="0"/>
        <w:keepLines w:val="0"/>
        <w:pageBreakBefore w:val="0"/>
        <w:kinsoku/>
        <w:wordWrap/>
        <w:overflowPunct/>
        <w:topLinePunct w:val="0"/>
        <w:bidi w:val="0"/>
        <w:spacing w:line="432" w:lineRule="auto"/>
        <w:ind w:firstLine="420"/>
        <w:rPr>
          <w:rFonts w:hint="eastAsia" w:ascii="宋体" w:hAnsi="宋体" w:eastAsia="宋体"/>
          <w:szCs w:val="21"/>
          <w:lang w:val="en-US" w:eastAsia="zh-CN"/>
        </w:rPr>
      </w:pPr>
      <w:r>
        <w:rPr>
          <w:rFonts w:hint="eastAsia" w:ascii="宋体" w:hAnsi="宋体"/>
          <w:szCs w:val="21"/>
        </w:rPr>
        <w:t>电    话：</w:t>
      </w:r>
      <w:r>
        <w:rPr>
          <w:rFonts w:hint="eastAsia" w:ascii="宋体" w:hAnsi="宋体"/>
          <w:szCs w:val="21"/>
          <w:u w:val="none"/>
          <w:lang w:val="en-US" w:eastAsia="zh-CN"/>
        </w:rPr>
        <w:t>13702386883或0760-88202515</w:t>
      </w:r>
    </w:p>
    <w:p>
      <w:pPr>
        <w:keepNext w:val="0"/>
        <w:keepLines w:val="0"/>
        <w:pageBreakBefore w:val="0"/>
        <w:kinsoku/>
        <w:wordWrap/>
        <w:overflowPunct/>
        <w:topLinePunct w:val="0"/>
        <w:bidi w:val="0"/>
        <w:spacing w:line="432" w:lineRule="auto"/>
        <w:ind w:firstLine="420"/>
        <w:rPr>
          <w:rFonts w:hint="eastAsia" w:ascii="宋体" w:hAnsi="宋体" w:eastAsia="宋体"/>
          <w:szCs w:val="21"/>
          <w:lang w:val="en-US" w:eastAsia="zh-CN"/>
        </w:rPr>
      </w:pPr>
      <w:r>
        <w:rPr>
          <w:rFonts w:hint="eastAsia" w:ascii="宋体" w:hAnsi="宋体"/>
          <w:szCs w:val="21"/>
        </w:rPr>
        <w:t>传    真：</w:t>
      </w:r>
      <w:r>
        <w:rPr>
          <w:rFonts w:hint="eastAsia" w:ascii="宋体" w:hAnsi="宋体"/>
          <w:szCs w:val="21"/>
          <w:u w:val="none"/>
          <w:lang w:val="en-US" w:eastAsia="zh-CN"/>
        </w:rPr>
        <w:t>0760-88202515</w:t>
      </w:r>
    </w:p>
    <w:p>
      <w:pPr>
        <w:keepNext w:val="0"/>
        <w:keepLines w:val="0"/>
        <w:pageBreakBefore w:val="0"/>
        <w:kinsoku/>
        <w:wordWrap/>
        <w:overflowPunct/>
        <w:topLinePunct w:val="0"/>
        <w:bidi w:val="0"/>
        <w:spacing w:line="432" w:lineRule="auto"/>
        <w:ind w:firstLine="420"/>
        <w:rPr>
          <w:rFonts w:hint="eastAsia" w:ascii="宋体" w:hAnsi="宋体"/>
          <w:szCs w:val="21"/>
        </w:rPr>
      </w:pPr>
      <w:r>
        <w:rPr>
          <w:rFonts w:hint="eastAsia" w:ascii="宋体" w:hAnsi="宋体"/>
          <w:szCs w:val="21"/>
        </w:rPr>
        <w:t>电子邮箱：531549420</w:t>
      </w:r>
      <w:r>
        <w:rPr>
          <w:rFonts w:ascii="宋体" w:hAnsi="宋体"/>
          <w:szCs w:val="21"/>
        </w:rPr>
        <w:t>@</w:t>
      </w:r>
      <w:r>
        <w:rPr>
          <w:rFonts w:hint="eastAsia" w:ascii="宋体" w:hAnsi="宋体"/>
          <w:szCs w:val="21"/>
          <w:lang w:val="en-US" w:eastAsia="zh-CN"/>
        </w:rPr>
        <w:t>qq</w:t>
      </w:r>
      <w:r>
        <w:rPr>
          <w:rFonts w:ascii="宋体" w:hAnsi="宋体"/>
          <w:szCs w:val="21"/>
        </w:rPr>
        <w:t>.com</w:t>
      </w:r>
    </w:p>
    <w:p>
      <w:pPr>
        <w:keepNext w:val="0"/>
        <w:keepLines w:val="0"/>
        <w:pageBreakBefore w:val="0"/>
        <w:kinsoku/>
        <w:wordWrap/>
        <w:overflowPunct/>
        <w:topLinePunct w:val="0"/>
        <w:bidi w:val="0"/>
        <w:spacing w:line="432" w:lineRule="auto"/>
        <w:rPr>
          <w:rFonts w:hint="eastAsia" w:ascii="宋体" w:hAnsi="宋体" w:cs="宋体"/>
          <w:b/>
          <w:bCs/>
          <w:szCs w:val="21"/>
        </w:rPr>
      </w:pPr>
    </w:p>
    <w:p>
      <w:pPr>
        <w:pStyle w:val="2"/>
        <w:keepNext w:val="0"/>
        <w:keepLines w:val="0"/>
        <w:pageBreakBefore w:val="0"/>
        <w:kinsoku/>
        <w:wordWrap/>
        <w:overflowPunct/>
        <w:topLinePunct w:val="0"/>
        <w:bidi w:val="0"/>
        <w:spacing w:line="432" w:lineRule="auto"/>
        <w:rPr>
          <w:rFonts w:hint="eastAsia" w:ascii="宋体" w:hAnsi="宋体" w:cs="宋体"/>
          <w:szCs w:val="21"/>
          <w:lang w:eastAsia="zh-CN"/>
        </w:rPr>
      </w:pPr>
    </w:p>
    <w:p>
      <w:pPr>
        <w:pStyle w:val="2"/>
        <w:keepNext w:val="0"/>
        <w:keepLines w:val="0"/>
        <w:pageBreakBefore w:val="0"/>
        <w:kinsoku/>
        <w:wordWrap/>
        <w:overflowPunct/>
        <w:topLinePunct w:val="0"/>
        <w:bidi w:val="0"/>
        <w:spacing w:line="432" w:lineRule="auto"/>
        <w:rPr>
          <w:rFonts w:hint="eastAsia" w:ascii="宋体" w:hAnsi="宋体" w:cs="宋体"/>
          <w:szCs w:val="21"/>
          <w:lang w:eastAsia="zh-CN"/>
        </w:rPr>
      </w:pPr>
    </w:p>
    <w:bookmarkEnd w:id="11"/>
    <w:p>
      <w:pPr>
        <w:keepNext w:val="0"/>
        <w:keepLines w:val="0"/>
        <w:pageBreakBefore w:val="0"/>
        <w:kinsoku/>
        <w:wordWrap/>
        <w:overflowPunct/>
        <w:topLinePunct w:val="0"/>
        <w:bidi w:val="0"/>
        <w:spacing w:line="432" w:lineRule="auto"/>
        <w:jc w:val="center"/>
        <w:rPr>
          <w:rFonts w:hint="eastAsia" w:eastAsia="宋体"/>
          <w:szCs w:val="22"/>
          <w:lang w:eastAsia="zh-CN"/>
        </w:rPr>
      </w:pPr>
      <w:bookmarkStart w:id="18" w:name="OLE_LINK25"/>
      <w:r>
        <w:rPr>
          <w:rFonts w:hint="eastAsia"/>
        </w:rPr>
        <w:t xml:space="preserve">                                                                                      </w:t>
      </w:r>
      <w:r>
        <w:rPr>
          <w:rFonts w:hint="eastAsia"/>
          <w:lang w:val="en-US" w:eastAsia="zh-CN"/>
        </w:rPr>
        <w:t xml:space="preserve"> </w:t>
      </w:r>
      <w:r>
        <w:rPr>
          <w:rFonts w:hint="eastAsia"/>
        </w:rPr>
        <w:t xml:space="preserve">  </w:t>
      </w:r>
      <w:bookmarkEnd w:id="18"/>
      <w:r>
        <w:rPr>
          <w:rFonts w:hint="eastAsia"/>
          <w:szCs w:val="22"/>
          <w:lang w:eastAsia="zh-CN"/>
        </w:rPr>
        <w:t>广东钧信建设管理有限公司中山分公司</w:t>
      </w:r>
    </w:p>
    <w:p>
      <w:pPr>
        <w:pStyle w:val="99"/>
        <w:keepNext w:val="0"/>
        <w:keepLines w:val="0"/>
        <w:pageBreakBefore w:val="0"/>
        <w:kinsoku/>
        <w:wordWrap/>
        <w:overflowPunct/>
        <w:topLinePunct w:val="0"/>
        <w:bidi w:val="0"/>
        <w:spacing w:line="432" w:lineRule="auto"/>
        <w:rPr>
          <w:rFonts w:ascii="Times New Roman" w:eastAsia="宋体"/>
          <w:b w:val="0"/>
          <w:sz w:val="21"/>
          <w:szCs w:val="22"/>
        </w:rPr>
      </w:pPr>
      <w:r>
        <w:rPr>
          <w:rFonts w:hint="eastAsia"/>
        </w:rPr>
        <w:t xml:space="preserve">        </w:t>
      </w:r>
      <w:r>
        <w:rPr>
          <w:rFonts w:hint="eastAsia" w:ascii="Times New Roman" w:eastAsia="宋体"/>
          <w:b w:val="0"/>
          <w:sz w:val="21"/>
          <w:szCs w:val="22"/>
        </w:rPr>
        <w:t xml:space="preserve">                                                   </w:t>
      </w:r>
      <w:r>
        <w:rPr>
          <w:rFonts w:hint="eastAsia" w:ascii="Times New Roman" w:eastAsia="宋体"/>
          <w:b w:val="0"/>
          <w:sz w:val="21"/>
          <w:szCs w:val="22"/>
          <w:lang w:val="en-US" w:eastAsia="zh-CN"/>
        </w:rPr>
        <w:t xml:space="preserve">  </w:t>
      </w:r>
      <w:r>
        <w:rPr>
          <w:rFonts w:hint="eastAsia" w:ascii="Times New Roman" w:eastAsia="宋体"/>
          <w:b w:val="0"/>
          <w:sz w:val="21"/>
          <w:szCs w:val="22"/>
        </w:rPr>
        <w:t>20</w:t>
      </w:r>
      <w:r>
        <w:rPr>
          <w:rFonts w:hint="eastAsia" w:ascii="Times New Roman" w:eastAsia="宋体"/>
          <w:b w:val="0"/>
          <w:sz w:val="21"/>
          <w:szCs w:val="22"/>
          <w:lang w:val="en-US" w:eastAsia="zh-CN"/>
        </w:rPr>
        <w:t>20</w:t>
      </w:r>
      <w:r>
        <w:rPr>
          <w:rFonts w:hint="eastAsia" w:ascii="Times New Roman" w:eastAsia="宋体"/>
          <w:b w:val="0"/>
          <w:sz w:val="21"/>
          <w:szCs w:val="22"/>
        </w:rPr>
        <w:t>年</w:t>
      </w:r>
      <w:r>
        <w:rPr>
          <w:rFonts w:hint="eastAsia" w:ascii="Times New Roman" w:eastAsia="宋体"/>
          <w:b w:val="0"/>
          <w:sz w:val="21"/>
          <w:szCs w:val="22"/>
          <w:lang w:val="en-US" w:eastAsia="zh-CN"/>
        </w:rPr>
        <w:t>4</w:t>
      </w:r>
      <w:r>
        <w:rPr>
          <w:rFonts w:hint="eastAsia" w:ascii="Times New Roman" w:eastAsia="宋体"/>
          <w:b w:val="0"/>
          <w:sz w:val="21"/>
          <w:szCs w:val="22"/>
        </w:rPr>
        <w:t xml:space="preserve">月 </w:t>
      </w:r>
      <w:r>
        <w:rPr>
          <w:rFonts w:hint="eastAsia" w:ascii="Times New Roman" w:eastAsia="宋体"/>
          <w:b w:val="0"/>
          <w:sz w:val="21"/>
          <w:szCs w:val="22"/>
          <w:lang w:val="en-US" w:eastAsia="zh-CN"/>
        </w:rPr>
        <w:t xml:space="preserve">    </w:t>
      </w:r>
      <w:r>
        <w:rPr>
          <w:rFonts w:hint="eastAsia" w:ascii="Times New Roman" w:eastAsia="宋体"/>
          <w:b w:val="0"/>
          <w:sz w:val="21"/>
          <w:szCs w:val="22"/>
        </w:rPr>
        <w:t xml:space="preserve"> 日</w:t>
      </w: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spacing w:line="460" w:lineRule="exact"/>
        <w:rPr>
          <w:rFonts w:ascii="Times New Roman"/>
        </w:rPr>
      </w:pPr>
      <w:bookmarkStart w:id="19" w:name="_Toc9244"/>
      <w:r>
        <w:rPr>
          <w:rFonts w:ascii="Times New Roman"/>
        </w:rPr>
        <w:t>第二部分   用 户 需 求 书</w:t>
      </w:r>
      <w:bookmarkEnd w:id="19"/>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pStyle w:val="99"/>
        <w:spacing w:line="460" w:lineRule="exact"/>
        <w:rPr>
          <w:rFonts w:ascii="Times New Roman"/>
        </w:rPr>
      </w:pPr>
    </w:p>
    <w:p>
      <w:pPr>
        <w:jc w:val="center"/>
        <w:rPr>
          <w:b/>
          <w:bCs/>
          <w:sz w:val="32"/>
          <w:szCs w:val="32"/>
        </w:rPr>
      </w:pPr>
      <w:bookmarkStart w:id="20" w:name="_Toc418151854"/>
      <w:bookmarkStart w:id="21" w:name="_Toc436741510"/>
      <w:bookmarkStart w:id="22" w:name="_Toc339618457"/>
      <w:bookmarkStart w:id="23" w:name="_Toc436823879"/>
      <w:bookmarkStart w:id="24" w:name="_Toc436824212"/>
      <w:bookmarkStart w:id="25" w:name="_Toc391976265"/>
      <w:r>
        <w:rPr>
          <w:b/>
          <w:bCs/>
          <w:sz w:val="32"/>
          <w:szCs w:val="32"/>
        </w:rPr>
        <w:t>总   则</w:t>
      </w:r>
      <w:bookmarkEnd w:id="20"/>
      <w:bookmarkEnd w:id="21"/>
      <w:bookmarkEnd w:id="22"/>
      <w:bookmarkEnd w:id="23"/>
      <w:bookmarkEnd w:id="24"/>
      <w:bookmarkEnd w:id="25"/>
    </w:p>
    <w:p>
      <w:pPr>
        <w:tabs>
          <w:tab w:val="left" w:pos="1365"/>
        </w:tabs>
        <w:spacing w:line="360" w:lineRule="auto"/>
        <w:ind w:left="420"/>
      </w:pPr>
      <w:bookmarkStart w:id="26" w:name="_Hlt4491564"/>
      <w:bookmarkEnd w:id="26"/>
    </w:p>
    <w:p>
      <w:pPr>
        <w:numPr>
          <w:ilvl w:val="6"/>
          <w:numId w:val="15"/>
        </w:numPr>
        <w:tabs>
          <w:tab w:val="left" w:pos="424"/>
          <w:tab w:val="clear" w:pos="3240"/>
        </w:tabs>
        <w:spacing w:line="460" w:lineRule="atLeast"/>
        <w:ind w:left="424" w:hanging="424"/>
        <w:rPr>
          <w:sz w:val="24"/>
        </w:rPr>
      </w:pPr>
      <w:r>
        <w:t>投标人所投</w:t>
      </w:r>
      <w:r>
        <w:rPr>
          <w:rFonts w:hint="eastAsia"/>
          <w:lang w:eastAsia="zh-CN"/>
        </w:rPr>
        <w:t>设备</w:t>
      </w:r>
      <w:r>
        <w:rPr>
          <w:rFonts w:hint="eastAsia"/>
          <w:lang w:val="en-US" w:eastAsia="zh-CN"/>
        </w:rPr>
        <w:t>/</w:t>
      </w:r>
      <w:r>
        <w:rPr>
          <w:rFonts w:hint="eastAsia"/>
          <w:bCs/>
          <w:szCs w:val="21"/>
          <w:lang w:eastAsia="zh-CN"/>
        </w:rPr>
        <w:t>产品</w:t>
      </w:r>
      <w:r>
        <w:rPr>
          <w:bCs/>
          <w:szCs w:val="21"/>
        </w:rPr>
        <w:t>的性能应达到参考指标表中所列技术指标及安装要求。投标人在响应建议中必须列出具体数值。如果投标人只注明“符合”或“满足”，或者投标文件所投产品和招标文件要求的技术参数有负偏离，评标委员会保留认定该投标</w:t>
      </w:r>
      <w:r>
        <w:rPr>
          <w:spacing w:val="-6"/>
          <w:szCs w:val="21"/>
        </w:rPr>
        <w:t>响应不足的权利。</w:t>
      </w:r>
    </w:p>
    <w:p>
      <w:pPr>
        <w:numPr>
          <w:ilvl w:val="6"/>
          <w:numId w:val="15"/>
        </w:numPr>
        <w:tabs>
          <w:tab w:val="left" w:pos="424"/>
          <w:tab w:val="clear" w:pos="3240"/>
        </w:tabs>
        <w:spacing w:line="460" w:lineRule="atLeast"/>
        <w:ind w:left="424" w:hanging="424"/>
        <w:rPr>
          <w:highlight w:val="none"/>
        </w:rPr>
      </w:pPr>
      <w:r>
        <w:rPr>
          <w:highlight w:val="none"/>
        </w:rPr>
        <w:t>在招标文件中凡有“★”标识的内容</w:t>
      </w:r>
      <w:r>
        <w:rPr>
          <w:szCs w:val="21"/>
          <w:highlight w:val="none"/>
        </w:rPr>
        <w:t>条款被视为重要的响应要求、技术指标要求和性能要求。投标人必须对此作出回答并完全满足这些要求不可以出现任何负偏离，如果出现负偏离则将被视为无效投标</w:t>
      </w:r>
      <w:r>
        <w:rPr>
          <w:rFonts w:hint="eastAsia"/>
          <w:szCs w:val="21"/>
          <w:highlight w:val="none"/>
          <w:lang w:eastAsia="zh-CN"/>
        </w:rPr>
        <w:t>。</w:t>
      </w:r>
    </w:p>
    <w:p>
      <w:pPr>
        <w:numPr>
          <w:ilvl w:val="6"/>
          <w:numId w:val="15"/>
        </w:numPr>
        <w:tabs>
          <w:tab w:val="left" w:pos="424"/>
          <w:tab w:val="clear" w:pos="3240"/>
        </w:tabs>
        <w:spacing w:line="460" w:lineRule="atLeast"/>
        <w:ind w:left="424" w:hanging="424"/>
        <w:rPr>
          <w:szCs w:val="21"/>
        </w:rPr>
      </w:pPr>
      <w:r>
        <w:rPr>
          <w:szCs w:val="21"/>
        </w:rPr>
        <w:t>本项目由中标人承包及负责招标文件对中标人要求的一切事宜及责任。</w:t>
      </w:r>
    </w:p>
    <w:p>
      <w:pPr>
        <w:numPr>
          <w:ilvl w:val="6"/>
          <w:numId w:val="15"/>
        </w:numPr>
        <w:tabs>
          <w:tab w:val="left" w:pos="424"/>
          <w:tab w:val="clear" w:pos="3240"/>
        </w:tabs>
        <w:spacing w:line="460" w:lineRule="atLeast"/>
        <w:ind w:left="424" w:hanging="424"/>
        <w:rPr>
          <w:szCs w:val="21"/>
          <w:highlight w:val="none"/>
        </w:rPr>
      </w:pPr>
      <w:r>
        <w:rPr>
          <w:szCs w:val="21"/>
          <w:highlight w:val="none"/>
        </w:rPr>
        <w:t>本项目不接受联合投标。中标人未经招标人批准，不得以任何方式转包或分包本项目。</w:t>
      </w: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pPr>
        <w:tabs>
          <w:tab w:val="left" w:pos="1365"/>
        </w:tabs>
        <w:spacing w:line="460" w:lineRule="atLeast"/>
        <w:ind w:left="420"/>
      </w:pPr>
    </w:p>
    <w:p>
      <w:r>
        <w:br w:type="page"/>
      </w:r>
    </w:p>
    <w:p>
      <w:pPr>
        <w:pStyle w:val="3"/>
        <w:jc w:val="center"/>
        <w:rPr>
          <w:color w:val="000000"/>
          <w:sz w:val="44"/>
          <w:szCs w:val="44"/>
        </w:rPr>
      </w:pPr>
      <w:bookmarkStart w:id="27" w:name="_Toc423877756"/>
      <w:r>
        <w:rPr>
          <w:rFonts w:hint="eastAsia"/>
          <w:color w:val="000000"/>
          <w:sz w:val="32"/>
          <w:szCs w:val="32"/>
        </w:rPr>
        <w:t>第二部分  用户需求书</w:t>
      </w:r>
      <w:bookmarkEnd w:id="27"/>
    </w:p>
    <w:p>
      <w:pPr>
        <w:tabs>
          <w:tab w:val="left" w:pos="636"/>
        </w:tabs>
        <w:spacing w:line="360" w:lineRule="auto"/>
        <w:rPr>
          <w:rFonts w:ascii="宋体" w:hAnsi="宋体"/>
          <w:b/>
          <w:color w:val="000000"/>
          <w:szCs w:val="21"/>
        </w:rPr>
      </w:pPr>
      <w:bookmarkStart w:id="28" w:name="_Toc182836733"/>
      <w:r>
        <w:rPr>
          <w:rFonts w:hint="eastAsia" w:ascii="宋体" w:hAnsi="宋体"/>
          <w:b/>
          <w:color w:val="000000"/>
          <w:szCs w:val="21"/>
        </w:rPr>
        <w:t>一、项目需求</w:t>
      </w:r>
    </w:p>
    <w:p>
      <w:pPr>
        <w:spacing w:line="360" w:lineRule="auto"/>
        <w:rPr>
          <w:rFonts w:hint="eastAsia" w:ascii="宋体" w:hAnsi="宋体" w:eastAsia="宋体" w:cs="宋体"/>
          <w:color w:val="000000" w:themeColor="text1"/>
          <w:szCs w:val="21"/>
          <w:lang w:eastAsia="zh-CN"/>
        </w:rPr>
      </w:pPr>
      <w:r>
        <w:rPr>
          <w:rFonts w:hint="eastAsia" w:ascii="宋体" w:hAnsi="宋体"/>
          <w:color w:val="000000"/>
          <w:szCs w:val="21"/>
        </w:rPr>
        <w:t>1、采购</w:t>
      </w:r>
      <w:r>
        <w:rPr>
          <w:rFonts w:ascii="宋体" w:hAnsi="宋体"/>
          <w:color w:val="000000"/>
          <w:szCs w:val="21"/>
        </w:rPr>
        <w:t>货物名称</w:t>
      </w:r>
      <w:r>
        <w:rPr>
          <w:rFonts w:ascii="宋体" w:hAnsi="宋体"/>
          <w:color w:val="000000" w:themeColor="text1"/>
          <w:szCs w:val="21"/>
        </w:rPr>
        <w:t>：</w:t>
      </w:r>
      <w:r>
        <w:rPr>
          <w:rFonts w:hint="eastAsia" w:ascii="宋体" w:hAnsi="宋体"/>
          <w:color w:val="000000" w:themeColor="text1"/>
          <w:szCs w:val="21"/>
        </w:rPr>
        <w:t>过一硫酸氢钾复合</w:t>
      </w:r>
      <w:r>
        <w:rPr>
          <w:rFonts w:hint="eastAsia" w:ascii="宋体" w:hAnsi="宋体"/>
          <w:color w:val="000000" w:themeColor="text1"/>
          <w:szCs w:val="21"/>
          <w:lang w:eastAsia="zh-CN"/>
        </w:rPr>
        <w:t>杀菌剂（又名“单过</w:t>
      </w:r>
      <w:r>
        <w:rPr>
          <w:rFonts w:hint="eastAsia" w:ascii="宋体" w:hAnsi="宋体"/>
          <w:color w:val="000000" w:themeColor="text1"/>
          <w:szCs w:val="21"/>
        </w:rPr>
        <w:t>硫酸氢钾复合</w:t>
      </w:r>
      <w:r>
        <w:rPr>
          <w:rFonts w:hint="eastAsia" w:ascii="宋体" w:hAnsi="宋体"/>
          <w:color w:val="000000" w:themeColor="text1"/>
          <w:szCs w:val="21"/>
          <w:lang w:eastAsia="zh-CN"/>
        </w:rPr>
        <w:t>盐”、“</w:t>
      </w:r>
      <w:r>
        <w:rPr>
          <w:rFonts w:hint="eastAsia" w:ascii="宋体" w:hAnsi="宋体"/>
          <w:color w:val="000000" w:themeColor="text1"/>
          <w:szCs w:val="21"/>
        </w:rPr>
        <w:t>过一硫酸氢钾复合</w:t>
      </w:r>
      <w:r>
        <w:rPr>
          <w:rFonts w:hint="eastAsia" w:ascii="宋体" w:hAnsi="宋体"/>
          <w:color w:val="000000" w:themeColor="text1"/>
          <w:szCs w:val="21"/>
          <w:lang w:eastAsia="zh-CN"/>
        </w:rPr>
        <w:t>盐”，下同）</w:t>
      </w:r>
    </w:p>
    <w:p>
      <w:pPr>
        <w:spacing w:line="360" w:lineRule="auto"/>
        <w:rPr>
          <w:rFonts w:ascii="宋体" w:hAnsi="宋体"/>
          <w:color w:val="000000" w:themeColor="text1"/>
          <w:szCs w:val="21"/>
        </w:rPr>
      </w:pPr>
      <w:r>
        <w:rPr>
          <w:rFonts w:hint="eastAsia" w:ascii="宋体" w:hAnsi="宋体"/>
          <w:color w:val="000000" w:themeColor="text1"/>
          <w:szCs w:val="21"/>
        </w:rPr>
        <w:t>2</w:t>
      </w:r>
      <w:r>
        <w:rPr>
          <w:rFonts w:hint="eastAsia" w:ascii="宋体" w:hAnsi="宋体" w:cs="宋体"/>
          <w:color w:val="000000" w:themeColor="text1"/>
          <w:szCs w:val="21"/>
        </w:rPr>
        <w:t>、适用对象</w:t>
      </w:r>
      <w:r>
        <w:rPr>
          <w:rFonts w:ascii="宋体" w:hAnsi="宋体" w:cs="宋体"/>
          <w:color w:val="000000" w:themeColor="text1"/>
          <w:szCs w:val="21"/>
        </w:rPr>
        <w:t>：</w:t>
      </w:r>
      <w:r>
        <w:rPr>
          <w:rFonts w:hint="eastAsia" w:ascii="宋体" w:hAnsi="宋体" w:cs="宋体"/>
          <w:color w:val="000000" w:themeColor="text1"/>
          <w:szCs w:val="21"/>
        </w:rPr>
        <w:t>用于</w:t>
      </w:r>
      <w:r>
        <w:rPr>
          <w:rFonts w:hint="eastAsia" w:ascii="宋体" w:hAnsi="宋体" w:cs="宋体"/>
          <w:color w:val="000000" w:themeColor="text1"/>
          <w:szCs w:val="21"/>
          <w:lang w:eastAsia="zh-CN"/>
        </w:rPr>
        <w:t>城镇生活</w:t>
      </w:r>
      <w:r>
        <w:rPr>
          <w:rFonts w:hint="eastAsia" w:ascii="宋体" w:hAnsi="宋体" w:cs="宋体"/>
          <w:color w:val="000000" w:themeColor="text1"/>
          <w:szCs w:val="21"/>
        </w:rPr>
        <w:t>污水处理厂尾水消毒</w:t>
      </w:r>
    </w:p>
    <w:p>
      <w:pPr>
        <w:spacing w:line="360" w:lineRule="auto"/>
        <w:rPr>
          <w:rFonts w:hint="eastAsia" w:ascii="宋体" w:hAnsi="宋体" w:eastAsia="宋体"/>
          <w:color w:val="000000" w:themeColor="text1"/>
          <w:szCs w:val="21"/>
          <w:lang w:eastAsia="zh-CN"/>
        </w:rPr>
      </w:pPr>
      <w:r>
        <w:rPr>
          <w:rFonts w:hint="eastAsia" w:ascii="宋体" w:hAnsi="宋体"/>
          <w:color w:val="000000" w:themeColor="text1"/>
          <w:szCs w:val="21"/>
        </w:rPr>
        <w:t>3、</w:t>
      </w:r>
      <w:r>
        <w:rPr>
          <w:rFonts w:hint="eastAsia" w:ascii="宋体" w:hAnsi="宋体"/>
          <w:color w:val="000000" w:themeColor="text1"/>
          <w:szCs w:val="21"/>
          <w:lang w:eastAsia="zh-CN"/>
        </w:rPr>
        <w:t>供货</w:t>
      </w:r>
      <w:r>
        <w:rPr>
          <w:rFonts w:hint="eastAsia" w:ascii="宋体" w:hAnsi="宋体"/>
          <w:color w:val="000000" w:themeColor="text1"/>
          <w:szCs w:val="21"/>
        </w:rPr>
        <w:t>数量</w:t>
      </w:r>
      <w:r>
        <w:rPr>
          <w:rFonts w:hint="eastAsia" w:ascii="宋体" w:hAnsi="宋体"/>
          <w:color w:val="000000" w:themeColor="text1"/>
          <w:szCs w:val="21"/>
          <w:lang w:eastAsia="zh-CN"/>
        </w:rPr>
        <w:t>及周期要求</w:t>
      </w:r>
      <w:r>
        <w:rPr>
          <w:rFonts w:ascii="宋体" w:hAnsi="宋体"/>
          <w:color w:val="000000" w:themeColor="text1"/>
          <w:szCs w:val="21"/>
        </w:rPr>
        <w:t>：</w:t>
      </w:r>
      <w:r>
        <w:rPr>
          <w:rFonts w:hint="eastAsia" w:ascii="宋体" w:hAnsi="宋体"/>
          <w:color w:val="000000" w:themeColor="text1"/>
          <w:szCs w:val="21"/>
          <w:lang w:eastAsia="zh-CN"/>
        </w:rPr>
        <w:t>本项目货物总量为</w:t>
      </w:r>
      <w:r>
        <w:rPr>
          <w:rFonts w:hint="eastAsia" w:ascii="宋体" w:hAnsi="宋体"/>
          <w:color w:val="000000" w:themeColor="text1"/>
          <w:szCs w:val="21"/>
          <w:lang w:val="en-US" w:eastAsia="zh-CN"/>
        </w:rPr>
        <w:t>38.88</w:t>
      </w:r>
      <w:r>
        <w:rPr>
          <w:rFonts w:hint="eastAsia" w:ascii="宋体" w:hAnsi="宋体"/>
          <w:color w:val="000000" w:themeColor="text1"/>
          <w:szCs w:val="21"/>
        </w:rPr>
        <w:t>吨</w:t>
      </w:r>
      <w:r>
        <w:rPr>
          <w:rFonts w:hint="eastAsia" w:ascii="宋体" w:hAnsi="宋体"/>
          <w:color w:val="000000" w:themeColor="text1"/>
          <w:szCs w:val="21"/>
          <w:lang w:eastAsia="zh-CN"/>
        </w:rPr>
        <w:t>，供货周期为一年（自签订合同生效日起），供货合同以总量或供货周期二者先到为结束条件，供货期内供货数量未达到总量的，按实际发生数量结算。</w:t>
      </w:r>
    </w:p>
    <w:p>
      <w:pPr>
        <w:spacing w:line="360" w:lineRule="auto"/>
        <w:rPr>
          <w:rFonts w:ascii="宋体" w:hAnsi="宋体"/>
          <w:color w:val="000000" w:themeColor="text1"/>
          <w:szCs w:val="21"/>
        </w:rPr>
      </w:pPr>
      <w:r>
        <w:rPr>
          <w:rFonts w:hint="eastAsia" w:ascii="宋体" w:hAnsi="宋体" w:cs="宋体"/>
          <w:color w:val="000000" w:themeColor="text1"/>
          <w:szCs w:val="21"/>
        </w:rPr>
        <w:t>4、技术指标要求：</w:t>
      </w:r>
    </w:p>
    <w:tbl>
      <w:tblPr>
        <w:tblStyle w:val="47"/>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96"/>
        <w:gridCol w:w="437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6"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产品名称</w:t>
            </w:r>
          </w:p>
        </w:tc>
        <w:tc>
          <w:tcPr>
            <w:tcW w:w="1896"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规格参数</w:t>
            </w:r>
          </w:p>
        </w:tc>
        <w:tc>
          <w:tcPr>
            <w:tcW w:w="4377"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技术要求</w:t>
            </w:r>
          </w:p>
        </w:tc>
        <w:tc>
          <w:tcPr>
            <w:tcW w:w="2160"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56" w:type="dxa"/>
            <w:vMerge w:val="restart"/>
            <w:vAlign w:val="center"/>
          </w:tcPr>
          <w:p>
            <w:pPr>
              <w:spacing w:line="360" w:lineRule="auto"/>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rPr>
              <w:t>单过硫酸氢钾复合</w:t>
            </w:r>
            <w:r>
              <w:rPr>
                <w:rFonts w:hint="eastAsia" w:ascii="宋体" w:hAnsi="宋体" w:cs="宋体"/>
                <w:color w:val="000000" w:themeColor="text1"/>
                <w:szCs w:val="21"/>
                <w:lang w:eastAsia="zh-CN"/>
              </w:rPr>
              <w:t>盐</w:t>
            </w:r>
          </w:p>
        </w:tc>
        <w:tc>
          <w:tcPr>
            <w:tcW w:w="1896"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外观</w:t>
            </w:r>
            <w:r>
              <w:rPr>
                <w:rFonts w:ascii="宋体" w:hAnsi="宋体" w:cs="宋体"/>
                <w:color w:val="000000" w:themeColor="text1"/>
                <w:szCs w:val="21"/>
              </w:rPr>
              <w:t>要求</w:t>
            </w:r>
          </w:p>
        </w:tc>
        <w:tc>
          <w:tcPr>
            <w:tcW w:w="4377" w:type="dxa"/>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白色粉末</w:t>
            </w:r>
          </w:p>
        </w:tc>
        <w:tc>
          <w:tcPr>
            <w:tcW w:w="2160" w:type="dxa"/>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56" w:type="dxa"/>
            <w:vMerge w:val="continue"/>
            <w:vAlign w:val="center"/>
          </w:tcPr>
          <w:p>
            <w:pPr>
              <w:spacing w:line="360" w:lineRule="auto"/>
              <w:rPr>
                <w:rFonts w:ascii="宋体" w:hAnsi="宋体" w:cs="宋体"/>
                <w:color w:val="000000" w:themeColor="text1"/>
                <w:szCs w:val="21"/>
              </w:rPr>
            </w:pPr>
          </w:p>
        </w:tc>
        <w:tc>
          <w:tcPr>
            <w:tcW w:w="1896" w:type="dxa"/>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单过硫酸氢钾复合盐</w:t>
            </w:r>
          </w:p>
        </w:tc>
        <w:tc>
          <w:tcPr>
            <w:tcW w:w="4377" w:type="dxa"/>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单过硫酸氢钾复合盐含量≥</w:t>
            </w:r>
            <w:r>
              <w:rPr>
                <w:rFonts w:hint="eastAsia" w:ascii="宋体" w:hAnsi="宋体" w:cs="宋体"/>
                <w:color w:val="000000" w:themeColor="text1"/>
                <w:szCs w:val="21"/>
                <w:lang w:val="en-US" w:eastAsia="zh-CN"/>
              </w:rPr>
              <w:t>17</w:t>
            </w:r>
            <w:r>
              <w:rPr>
                <w:rFonts w:hint="eastAsia" w:ascii="宋体" w:hAnsi="宋体" w:cs="宋体"/>
                <w:color w:val="000000" w:themeColor="text1"/>
                <w:szCs w:val="21"/>
              </w:rPr>
              <w:t>%</w:t>
            </w:r>
          </w:p>
        </w:tc>
        <w:tc>
          <w:tcPr>
            <w:tcW w:w="2160" w:type="dxa"/>
            <w:vAlign w:val="center"/>
          </w:tcPr>
          <w:p>
            <w:pPr>
              <w:spacing w:line="360" w:lineRule="auto"/>
              <w:rPr>
                <w:rFonts w:hint="eastAsia" w:ascii="宋体" w:hAnsi="宋体" w:eastAsia="宋体" w:cs="宋体"/>
                <w:color w:val="000000" w:themeColor="text1"/>
                <w:szCs w:val="21"/>
                <w:lang w:eastAsia="zh-CN"/>
              </w:rPr>
            </w:pPr>
            <w:r>
              <w:rPr>
                <w:rFonts w:hint="eastAsia" w:ascii="宋体" w:hAnsi="宋体" w:cs="宋体"/>
                <w:color w:val="000000" w:themeColor="text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★气味</w:t>
            </w:r>
          </w:p>
        </w:tc>
        <w:tc>
          <w:tcPr>
            <w:tcW w:w="4377" w:type="dxa"/>
            <w:vAlign w:val="center"/>
          </w:tcPr>
          <w:p>
            <w:pPr>
              <w:spacing w:line="360" w:lineRule="auto"/>
              <w:rPr>
                <w:rFonts w:ascii="宋体" w:hAnsi="宋体" w:cs="宋体"/>
                <w:szCs w:val="21"/>
              </w:rPr>
            </w:pPr>
            <w:r>
              <w:rPr>
                <w:rFonts w:hint="eastAsia" w:ascii="宋体" w:hAnsi="宋体" w:cs="宋体"/>
                <w:szCs w:val="21"/>
              </w:rPr>
              <w:t>无强烈刺激性气味，不会引起人体不适。</w:t>
            </w:r>
          </w:p>
        </w:tc>
        <w:tc>
          <w:tcPr>
            <w:tcW w:w="2160" w:type="dxa"/>
            <w:vAlign w:val="center"/>
          </w:tcPr>
          <w:p>
            <w:pPr>
              <w:spacing w:line="360" w:lineRule="auto"/>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溶解性能</w:t>
            </w:r>
          </w:p>
        </w:tc>
        <w:tc>
          <w:tcPr>
            <w:tcW w:w="4377" w:type="dxa"/>
            <w:vAlign w:val="center"/>
          </w:tcPr>
          <w:p>
            <w:pPr>
              <w:spacing w:line="360" w:lineRule="auto"/>
              <w:rPr>
                <w:rFonts w:ascii="宋体" w:hAnsi="宋体" w:cs="宋体"/>
                <w:szCs w:val="21"/>
              </w:rPr>
            </w:pPr>
            <w:r>
              <w:rPr>
                <w:rFonts w:hint="eastAsia" w:ascii="宋体" w:hAnsi="宋体" w:cs="宋体"/>
                <w:szCs w:val="21"/>
                <w:lang w:eastAsia="zh-CN"/>
              </w:rPr>
              <w:t>易溶于水，且溶解度＞</w:t>
            </w:r>
            <w:r>
              <w:rPr>
                <w:rFonts w:hint="eastAsia" w:ascii="宋体" w:hAnsi="宋体" w:cs="宋体"/>
                <w:szCs w:val="21"/>
                <w:lang w:val="en-US" w:eastAsia="zh-CN"/>
              </w:rPr>
              <w:t>1%，</w:t>
            </w:r>
            <w:r>
              <w:rPr>
                <w:rFonts w:hint="eastAsia" w:ascii="宋体" w:hAnsi="宋体" w:cs="宋体"/>
                <w:szCs w:val="21"/>
              </w:rPr>
              <w:t>溶液：配制1%-2%浓度，溶解</w:t>
            </w:r>
            <w:r>
              <w:rPr>
                <w:rFonts w:ascii="宋体" w:hAnsi="宋体" w:cs="宋体"/>
                <w:szCs w:val="21"/>
              </w:rPr>
              <w:t>速度</w:t>
            </w:r>
            <w:r>
              <w:rPr>
                <w:rFonts w:hint="eastAsia" w:ascii="宋体" w:hAnsi="宋体" w:cs="宋体"/>
                <w:szCs w:val="21"/>
              </w:rPr>
              <w:t>≤30分钟</w:t>
            </w:r>
          </w:p>
        </w:tc>
        <w:tc>
          <w:tcPr>
            <w:tcW w:w="2160" w:type="dxa"/>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★药耗</w:t>
            </w:r>
          </w:p>
        </w:tc>
        <w:tc>
          <w:tcPr>
            <w:tcW w:w="4377" w:type="dxa"/>
            <w:vAlign w:val="center"/>
          </w:tcPr>
          <w:p>
            <w:pPr>
              <w:spacing w:line="360" w:lineRule="auto"/>
              <w:rPr>
                <w:rFonts w:ascii="宋体" w:hAnsi="宋体" w:cs="宋体"/>
                <w:szCs w:val="21"/>
              </w:rPr>
            </w:pPr>
            <w:r>
              <w:rPr>
                <w:rFonts w:hint="eastAsia" w:ascii="宋体" w:hAnsi="宋体" w:cs="宋体"/>
                <w:szCs w:val="21"/>
              </w:rPr>
              <w:t>执行《GB</w:t>
            </w:r>
            <w:r>
              <w:rPr>
                <w:rFonts w:ascii="宋体" w:hAnsi="宋体" w:cs="宋体"/>
                <w:szCs w:val="21"/>
              </w:rPr>
              <w:t>18918-2002</w:t>
            </w:r>
            <w:r>
              <w:rPr>
                <w:rFonts w:hint="eastAsia" w:ascii="宋体" w:hAnsi="宋体" w:cs="宋体"/>
                <w:szCs w:val="21"/>
              </w:rPr>
              <w:t>》排放标准中一级</w:t>
            </w:r>
            <w:r>
              <w:rPr>
                <w:rFonts w:ascii="宋体" w:hAnsi="宋体" w:cs="宋体"/>
                <w:szCs w:val="21"/>
              </w:rPr>
              <w:t>A</w:t>
            </w:r>
            <w:r>
              <w:rPr>
                <w:rFonts w:hint="eastAsia" w:ascii="宋体" w:hAnsi="宋体" w:cs="宋体"/>
                <w:szCs w:val="21"/>
              </w:rPr>
              <w:t>标标准，消毒每吨水消耗药剂≤5mg</w:t>
            </w:r>
            <w:r>
              <w:rPr>
                <w:rFonts w:ascii="宋体" w:hAnsi="宋体" w:cs="宋体"/>
                <w:szCs w:val="21"/>
              </w:rPr>
              <w:t>/</w:t>
            </w:r>
            <w:r>
              <w:rPr>
                <w:rFonts w:hint="eastAsia" w:ascii="宋体" w:hAnsi="宋体" w:cs="宋体"/>
                <w:szCs w:val="21"/>
              </w:rPr>
              <w:t>l</w:t>
            </w:r>
          </w:p>
        </w:tc>
        <w:tc>
          <w:tcPr>
            <w:tcW w:w="2160" w:type="dxa"/>
            <w:vAlign w:val="center"/>
          </w:tcPr>
          <w:p>
            <w:pPr>
              <w:spacing w:line="360" w:lineRule="auto"/>
              <w:rPr>
                <w:rFonts w:hint="eastAsia" w:ascii="宋体" w:hAnsi="宋体" w:eastAsia="宋体" w:cs="宋体"/>
                <w:szCs w:val="21"/>
                <w:lang w:eastAsia="zh-CN"/>
              </w:rPr>
            </w:pPr>
            <w:r>
              <w:rPr>
                <w:rFonts w:hint="eastAsia" w:ascii="宋体" w:hAnsi="宋体" w:cs="宋体"/>
                <w:szCs w:val="21"/>
              </w:rPr>
              <w:t>投标人需给出具体</w:t>
            </w:r>
            <w:r>
              <w:rPr>
                <w:rFonts w:hint="eastAsia" w:ascii="宋体" w:hAnsi="宋体" w:cs="宋体"/>
                <w:szCs w:val="21"/>
                <w:lang w:eastAsia="zh-CN"/>
              </w:rPr>
              <w:t>药耗</w:t>
            </w:r>
            <w:r>
              <w:rPr>
                <w:rFonts w:hint="eastAsia" w:ascii="宋体" w:hAnsi="宋体" w:cs="宋体"/>
                <w:szCs w:val="21"/>
              </w:rPr>
              <w:t>的</w:t>
            </w:r>
            <w:r>
              <w:rPr>
                <w:rFonts w:hint="eastAsia" w:ascii="宋体" w:hAnsi="宋体" w:cs="宋体"/>
                <w:szCs w:val="21"/>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★包装规格</w:t>
            </w:r>
          </w:p>
        </w:tc>
        <w:tc>
          <w:tcPr>
            <w:tcW w:w="4377" w:type="dxa"/>
            <w:vAlign w:val="center"/>
          </w:tcPr>
          <w:p>
            <w:pPr>
              <w:spacing w:line="360" w:lineRule="auto"/>
              <w:rPr>
                <w:rFonts w:ascii="宋体" w:hAnsi="宋体" w:cs="宋体"/>
                <w:szCs w:val="21"/>
              </w:rPr>
            </w:pPr>
            <w:r>
              <w:rPr>
                <w:rFonts w:hint="eastAsia" w:ascii="宋体" w:hAnsi="宋体" w:cs="宋体"/>
                <w:szCs w:val="21"/>
              </w:rPr>
              <w:t>包装品具有防湿、防潮的性能，每件≤</w:t>
            </w:r>
            <w:r>
              <w:rPr>
                <w:rFonts w:ascii="宋体" w:hAnsi="宋体" w:cs="宋体"/>
                <w:szCs w:val="21"/>
              </w:rPr>
              <w:t>30</w:t>
            </w:r>
            <w:r>
              <w:rPr>
                <w:rFonts w:hint="eastAsia" w:ascii="宋体" w:hAnsi="宋体" w:cs="宋体"/>
                <w:szCs w:val="21"/>
              </w:rPr>
              <w:t xml:space="preserve">KG/ </w:t>
            </w:r>
          </w:p>
        </w:tc>
        <w:tc>
          <w:tcPr>
            <w:tcW w:w="2160" w:type="dxa"/>
            <w:vAlign w:val="center"/>
          </w:tcPr>
          <w:p>
            <w:pPr>
              <w:spacing w:line="360"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szCs w:val="21"/>
              </w:rPr>
            </w:pPr>
            <w:r>
              <w:rPr>
                <w:rFonts w:hint="eastAsia" w:ascii="宋体" w:hAnsi="宋体" w:cs="宋体"/>
                <w:szCs w:val="21"/>
              </w:rPr>
              <w:t>★使用</w:t>
            </w:r>
            <w:r>
              <w:rPr>
                <w:rFonts w:ascii="宋体" w:hAnsi="宋体" w:cs="宋体"/>
                <w:szCs w:val="21"/>
              </w:rPr>
              <w:t>成本</w:t>
            </w:r>
          </w:p>
        </w:tc>
        <w:tc>
          <w:tcPr>
            <w:tcW w:w="4377" w:type="dxa"/>
            <w:vAlign w:val="center"/>
          </w:tcPr>
          <w:p>
            <w:pPr>
              <w:spacing w:line="360" w:lineRule="auto"/>
              <w:rPr>
                <w:rFonts w:ascii="宋体" w:hAnsi="宋体" w:cs="宋体"/>
                <w:szCs w:val="21"/>
              </w:rPr>
            </w:pPr>
            <w:r>
              <w:rPr>
                <w:rFonts w:hint="eastAsia" w:ascii="宋体" w:hAnsi="宋体" w:cs="宋体"/>
                <w:szCs w:val="21"/>
              </w:rPr>
              <w:t>执行《GB</w:t>
            </w:r>
            <w:r>
              <w:rPr>
                <w:rFonts w:ascii="宋体" w:hAnsi="宋体" w:cs="宋体"/>
                <w:szCs w:val="21"/>
              </w:rPr>
              <w:t>18918-2002</w:t>
            </w:r>
            <w:r>
              <w:rPr>
                <w:rFonts w:hint="eastAsia" w:ascii="宋体" w:hAnsi="宋体" w:cs="宋体"/>
                <w:szCs w:val="21"/>
              </w:rPr>
              <w:t>》排放标准中一级</w:t>
            </w:r>
            <w:r>
              <w:rPr>
                <w:rFonts w:ascii="宋体" w:hAnsi="宋体" w:cs="宋体"/>
                <w:szCs w:val="21"/>
              </w:rPr>
              <w:t>A</w:t>
            </w:r>
            <w:r>
              <w:rPr>
                <w:rFonts w:hint="eastAsia" w:ascii="宋体" w:hAnsi="宋体" w:cs="宋体"/>
                <w:szCs w:val="21"/>
              </w:rPr>
              <w:t>标标准每消毒一吨水所需费用≤0.3元</w:t>
            </w:r>
          </w:p>
        </w:tc>
        <w:tc>
          <w:tcPr>
            <w:tcW w:w="2160" w:type="dxa"/>
            <w:vAlign w:val="center"/>
          </w:tcPr>
          <w:p>
            <w:pPr>
              <w:spacing w:line="360" w:lineRule="auto"/>
              <w:rPr>
                <w:rFonts w:ascii="宋体" w:hAnsi="宋体" w:cs="宋体"/>
                <w:szCs w:val="21"/>
              </w:rPr>
            </w:pPr>
            <w:r>
              <w:rPr>
                <w:rFonts w:hint="eastAsia" w:ascii="宋体" w:hAnsi="宋体" w:cs="宋体"/>
                <w:szCs w:val="21"/>
              </w:rPr>
              <w:t>投标人需给出具体的</w:t>
            </w:r>
            <w:r>
              <w:rPr>
                <w:rFonts w:hint="eastAsia" w:ascii="宋体" w:hAnsi="宋体" w:cs="宋体"/>
                <w:szCs w:val="21"/>
                <w:lang w:eastAsia="zh-CN"/>
              </w:rPr>
              <w:t>使用成本数值</w:t>
            </w:r>
            <w:r>
              <w:rPr>
                <w:rFonts w:hint="eastAsia" w:ascii="宋体" w:hAnsi="宋体" w:cs="宋体"/>
                <w:szCs w:val="21"/>
              </w:rPr>
              <w:t>，</w:t>
            </w:r>
            <w:r>
              <w:rPr>
                <w:rFonts w:hint="eastAsia" w:ascii="宋体" w:hAnsi="宋体" w:cs="宋体"/>
                <w:szCs w:val="21"/>
                <w:lang w:eastAsia="zh-CN"/>
              </w:rPr>
              <w:t>计算依据方法：</w:t>
            </w:r>
            <w:r>
              <w:rPr>
                <w:rFonts w:hint="eastAsia" w:ascii="宋体" w:hAnsi="宋体" w:cs="宋体"/>
                <w:szCs w:val="21"/>
              </w:rPr>
              <w:t>使用</w:t>
            </w:r>
            <w:r>
              <w:rPr>
                <w:rFonts w:ascii="宋体" w:hAnsi="宋体" w:cs="宋体"/>
                <w:szCs w:val="21"/>
              </w:rPr>
              <w:t>成本=药耗</w:t>
            </w:r>
            <w:r>
              <w:rPr>
                <w:rFonts w:hint="eastAsia" w:ascii="宋体" w:hAnsi="宋体" w:cs="宋体"/>
                <w:szCs w:val="21"/>
              </w:rPr>
              <w:t>×</w:t>
            </w:r>
            <w:r>
              <w:rPr>
                <w:rFonts w:ascii="宋体" w:hAnsi="宋体" w:cs="宋体"/>
                <w:szCs w:val="21"/>
              </w:rPr>
              <w:t>每公斤单价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★保质期</w:t>
            </w:r>
          </w:p>
        </w:tc>
        <w:tc>
          <w:tcPr>
            <w:tcW w:w="4377" w:type="dxa"/>
            <w:vAlign w:val="center"/>
          </w:tcPr>
          <w:p>
            <w:pPr>
              <w:spacing w:line="360" w:lineRule="auto"/>
              <w:rPr>
                <w:rFonts w:ascii="宋体" w:hAnsi="宋体" w:cs="宋体"/>
                <w:color w:val="000000"/>
                <w:szCs w:val="21"/>
              </w:rPr>
            </w:pPr>
            <w:r>
              <w:rPr>
                <w:rFonts w:hint="eastAsia" w:ascii="宋体" w:hAnsi="宋体" w:cs="宋体"/>
                <w:color w:val="000000"/>
                <w:szCs w:val="21"/>
              </w:rPr>
              <w:t>24个</w:t>
            </w:r>
            <w:r>
              <w:rPr>
                <w:rFonts w:ascii="宋体" w:hAnsi="宋体" w:cs="宋体"/>
                <w:color w:val="000000"/>
                <w:szCs w:val="21"/>
              </w:rPr>
              <w:t>月</w:t>
            </w:r>
            <w:r>
              <w:rPr>
                <w:rFonts w:hint="eastAsia" w:ascii="宋体" w:hAnsi="宋体" w:cs="宋体"/>
                <w:color w:val="000000"/>
                <w:szCs w:val="21"/>
              </w:rPr>
              <w:t>及以上</w:t>
            </w:r>
          </w:p>
        </w:tc>
        <w:tc>
          <w:tcPr>
            <w:tcW w:w="2160" w:type="dxa"/>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56" w:type="dxa"/>
            <w:vMerge w:val="continue"/>
            <w:vAlign w:val="center"/>
          </w:tcPr>
          <w:p>
            <w:pPr>
              <w:spacing w:line="360" w:lineRule="auto"/>
              <w:rPr>
                <w:rFonts w:ascii="宋体" w:hAnsi="宋体" w:cs="宋体"/>
                <w:color w:val="000000"/>
                <w:szCs w:val="21"/>
              </w:rPr>
            </w:pPr>
          </w:p>
        </w:tc>
        <w:tc>
          <w:tcPr>
            <w:tcW w:w="189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储存及运输</w:t>
            </w:r>
          </w:p>
        </w:tc>
        <w:tc>
          <w:tcPr>
            <w:tcW w:w="4377" w:type="dxa"/>
            <w:vAlign w:val="center"/>
          </w:tcPr>
          <w:p>
            <w:pPr>
              <w:spacing w:line="360" w:lineRule="auto"/>
              <w:rPr>
                <w:rFonts w:ascii="宋体" w:hAnsi="宋体" w:cs="宋体"/>
                <w:color w:val="000000"/>
                <w:szCs w:val="21"/>
              </w:rPr>
            </w:pPr>
            <w:r>
              <w:rPr>
                <w:rFonts w:hint="eastAsia" w:ascii="宋体" w:hAnsi="宋体" w:cs="宋体"/>
                <w:color w:val="000000"/>
                <w:szCs w:val="21"/>
              </w:rPr>
              <w:t>运输，储存，使用过程中安全，环保，不产生泄露爆炸等危险</w:t>
            </w:r>
          </w:p>
        </w:tc>
        <w:tc>
          <w:tcPr>
            <w:tcW w:w="2160" w:type="dxa"/>
            <w:vAlign w:val="center"/>
          </w:tcPr>
          <w:p>
            <w:pPr>
              <w:spacing w:line="360" w:lineRule="auto"/>
              <w:rPr>
                <w:rFonts w:ascii="宋体" w:hAnsi="宋体" w:cs="宋体"/>
                <w:color w:val="000000"/>
                <w:szCs w:val="21"/>
              </w:rPr>
            </w:pPr>
          </w:p>
        </w:tc>
      </w:tr>
    </w:tbl>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r>
        <w:rPr>
          <w:rFonts w:ascii="宋体" w:hAnsi="宋体" w:cs="宋体"/>
          <w:color w:val="000000"/>
          <w:szCs w:val="21"/>
        </w:rPr>
        <w:br w:type="textWrapping"/>
      </w:r>
      <w:r>
        <w:rPr>
          <w:rFonts w:hint="eastAsia" w:ascii="宋体" w:hAnsi="宋体" w:cs="宋体"/>
          <w:color w:val="000000"/>
          <w:szCs w:val="21"/>
        </w:rPr>
        <w:t>6、</w:t>
      </w:r>
      <w:r>
        <w:rPr>
          <w:rFonts w:ascii="宋体" w:hAnsi="宋体" w:cs="宋体"/>
          <w:color w:val="000000"/>
          <w:szCs w:val="21"/>
        </w:rPr>
        <w:t>数量签收：需方在货物数量验收中若发现</w:t>
      </w:r>
      <w:r>
        <w:rPr>
          <w:rFonts w:hint="eastAsia" w:ascii="宋体" w:hAnsi="宋体" w:cs="宋体"/>
          <w:color w:val="000000"/>
          <w:szCs w:val="21"/>
        </w:rPr>
        <w:t>包装</w:t>
      </w:r>
      <w:r>
        <w:rPr>
          <w:rFonts w:ascii="宋体" w:hAnsi="宋体" w:cs="宋体"/>
          <w:color w:val="000000"/>
          <w:szCs w:val="21"/>
        </w:rPr>
        <w:t>净重量不足</w:t>
      </w:r>
      <w:r>
        <w:rPr>
          <w:rFonts w:hint="eastAsia" w:ascii="宋体" w:hAnsi="宋体" w:cs="宋体"/>
          <w:color w:val="000000"/>
          <w:szCs w:val="21"/>
        </w:rPr>
        <w:t>包装</w:t>
      </w:r>
      <w:r>
        <w:rPr>
          <w:rFonts w:ascii="宋体" w:hAnsi="宋体" w:cs="宋体"/>
          <w:color w:val="000000"/>
          <w:szCs w:val="21"/>
        </w:rPr>
        <w:t>标称总量±0.2kg，该批按最低单袋净重量结算、并按重量不足部份追究双倍赔付违约金。</w:t>
      </w:r>
    </w:p>
    <w:p>
      <w:pPr>
        <w:tabs>
          <w:tab w:val="right" w:pos="9815"/>
        </w:tabs>
        <w:spacing w:line="360" w:lineRule="auto"/>
        <w:rPr>
          <w:rFonts w:ascii="宋体" w:hAnsi="宋体" w:cs="宋体"/>
          <w:color w:val="000000"/>
          <w:szCs w:val="21"/>
        </w:rPr>
      </w:pPr>
      <w:r>
        <w:rPr>
          <w:rFonts w:hint="eastAsia" w:ascii="宋体" w:hAnsi="宋体" w:cs="宋体"/>
          <w:color w:val="000000"/>
          <w:szCs w:val="21"/>
        </w:rPr>
        <w:t>7、交货时间：</w:t>
      </w:r>
      <w:r>
        <w:rPr>
          <w:rFonts w:hint="eastAsia" w:ascii="宋体" w:hAnsi="宋体" w:cs="宋体"/>
          <w:color w:val="000000"/>
          <w:spacing w:val="5"/>
          <w:szCs w:val="21"/>
        </w:rPr>
        <w:t>自合同签订之日起1</w:t>
      </w:r>
      <w:r>
        <w:rPr>
          <w:rFonts w:ascii="宋体" w:hAnsi="宋体" w:cs="宋体"/>
          <w:color w:val="000000"/>
          <w:spacing w:val="5"/>
          <w:szCs w:val="21"/>
        </w:rPr>
        <w:t>5</w:t>
      </w:r>
      <w:r>
        <w:rPr>
          <w:rFonts w:hint="eastAsia" w:ascii="宋体" w:hAnsi="宋体" w:cs="宋体"/>
          <w:color w:val="000000"/>
          <w:spacing w:val="5"/>
          <w:szCs w:val="21"/>
        </w:rPr>
        <w:t>个工作日内交货。</w:t>
      </w:r>
      <w:r>
        <w:rPr>
          <w:rFonts w:ascii="宋体" w:hAnsi="宋体" w:cs="宋体"/>
          <w:color w:val="000000"/>
          <w:spacing w:val="5"/>
          <w:szCs w:val="21"/>
        </w:rPr>
        <w:tab/>
      </w:r>
    </w:p>
    <w:p>
      <w:pPr>
        <w:spacing w:line="360" w:lineRule="auto"/>
        <w:rPr>
          <w:rFonts w:ascii="宋体" w:hAnsi="宋体" w:cs="宋体"/>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二、项目要求：</w:t>
      </w:r>
    </w:p>
    <w:p>
      <w:pPr>
        <w:spacing w:line="360" w:lineRule="auto"/>
        <w:rPr>
          <w:rFonts w:ascii="宋体" w:hAnsi="宋体" w:cs="宋体"/>
          <w:color w:val="000000"/>
          <w:szCs w:val="21"/>
        </w:rPr>
      </w:pPr>
      <w:r>
        <w:rPr>
          <w:rFonts w:hint="eastAsia" w:ascii="宋体" w:hAnsi="宋体" w:cs="宋体"/>
          <w:color w:val="000000"/>
          <w:szCs w:val="21"/>
        </w:rPr>
        <w:t>1、投标人须提供全新合格的货物，并保证原装正货。</w:t>
      </w:r>
    </w:p>
    <w:p>
      <w:pPr>
        <w:spacing w:line="360" w:lineRule="auto"/>
        <w:rPr>
          <w:rFonts w:ascii="宋体" w:hAnsi="宋体" w:cs="宋体"/>
          <w:color w:val="000000"/>
          <w:szCs w:val="21"/>
        </w:rPr>
      </w:pPr>
      <w:r>
        <w:rPr>
          <w:rFonts w:hint="eastAsia" w:ascii="宋体" w:hAnsi="宋体" w:cs="宋体"/>
          <w:color w:val="000000"/>
          <w:szCs w:val="21"/>
        </w:rPr>
        <w:t xml:space="preserve">2、★投标人提供的货物必须是原厂生产未经拆封的全新正品，相关标签明晰，证票齐全，包装完好。 </w:t>
      </w:r>
    </w:p>
    <w:p>
      <w:pPr>
        <w:spacing w:line="360" w:lineRule="auto"/>
        <w:rPr>
          <w:rFonts w:ascii="宋体" w:hAnsi="宋体" w:cs="宋体"/>
          <w:color w:val="000000"/>
          <w:szCs w:val="21"/>
        </w:rPr>
      </w:pPr>
      <w:r>
        <w:rPr>
          <w:rFonts w:hint="eastAsia" w:ascii="宋体" w:hAnsi="宋体" w:cs="宋体"/>
          <w:color w:val="000000"/>
          <w:szCs w:val="21"/>
        </w:rPr>
        <w:t>3、本招标文件用户需求书中凡标有星号“★”的地方均被视为重要的响应要求、技术指标要求和性能要求。投标人要特别加以注意且必须完全满足这些要求不可以任何偏离。任何偏离将导致废标。</w:t>
      </w:r>
    </w:p>
    <w:p>
      <w:pPr>
        <w:spacing w:line="360" w:lineRule="auto"/>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highlight w:val="none"/>
        </w:rPr>
        <w:t>、★投标人</w:t>
      </w:r>
      <w:r>
        <w:rPr>
          <w:rFonts w:ascii="宋体" w:hAnsi="宋体" w:cs="宋体"/>
          <w:color w:val="000000"/>
          <w:szCs w:val="21"/>
          <w:highlight w:val="none"/>
        </w:rPr>
        <w:t>除提供货物外还应</w:t>
      </w:r>
      <w:r>
        <w:rPr>
          <w:rFonts w:hint="eastAsia" w:ascii="宋体" w:hAnsi="宋体" w:cs="宋体"/>
          <w:color w:val="000000"/>
          <w:szCs w:val="21"/>
          <w:highlight w:val="none"/>
        </w:rPr>
        <w:t>免费</w:t>
      </w:r>
      <w:r>
        <w:rPr>
          <w:rFonts w:ascii="宋体" w:hAnsi="宋体" w:cs="宋体"/>
          <w:color w:val="000000"/>
          <w:szCs w:val="21"/>
          <w:highlight w:val="none"/>
        </w:rPr>
        <w:t>提供配套药剂快速溶解</w:t>
      </w:r>
      <w:r>
        <w:rPr>
          <w:rFonts w:hint="eastAsia" w:ascii="宋体" w:hAnsi="宋体" w:cs="宋体"/>
          <w:color w:val="000000"/>
          <w:szCs w:val="21"/>
          <w:highlight w:val="none"/>
        </w:rPr>
        <w:t>设备</w:t>
      </w:r>
      <w:r>
        <w:rPr>
          <w:rFonts w:hint="eastAsia" w:ascii="宋体" w:hAnsi="宋体" w:cs="宋体"/>
          <w:color w:val="000000"/>
          <w:szCs w:val="21"/>
          <w:highlight w:val="none"/>
          <w:lang w:eastAsia="zh-CN"/>
        </w:rPr>
        <w:t>给采购人使用</w:t>
      </w:r>
      <w:r>
        <w:rPr>
          <w:rFonts w:hint="eastAsia" w:ascii="宋体" w:hAnsi="宋体" w:cs="宋体"/>
          <w:color w:val="000000"/>
          <w:szCs w:val="21"/>
          <w:highlight w:val="none"/>
        </w:rPr>
        <w:t>（</w:t>
      </w:r>
      <w:r>
        <w:rPr>
          <w:rFonts w:hint="eastAsia" w:ascii="宋体" w:hAnsi="宋体" w:cs="宋体"/>
          <w:color w:val="000000"/>
          <w:szCs w:val="21"/>
        </w:rPr>
        <w:t>单过硫酸氢钾复合消毒粉溶解设备1台），配套</w:t>
      </w:r>
      <w:r>
        <w:rPr>
          <w:rFonts w:ascii="宋体" w:hAnsi="宋体" w:cs="宋体"/>
          <w:color w:val="000000"/>
          <w:szCs w:val="21"/>
        </w:rPr>
        <w:t>设备应在报价</w:t>
      </w:r>
      <w:r>
        <w:rPr>
          <w:rFonts w:hint="eastAsia" w:ascii="宋体" w:hAnsi="宋体" w:cs="宋体"/>
          <w:color w:val="000000"/>
          <w:szCs w:val="21"/>
        </w:rPr>
        <w:t>明细</w:t>
      </w:r>
      <w:r>
        <w:rPr>
          <w:rFonts w:ascii="宋体" w:hAnsi="宋体" w:cs="宋体"/>
          <w:color w:val="000000"/>
          <w:szCs w:val="21"/>
        </w:rPr>
        <w:t>中列出，并在</w:t>
      </w:r>
      <w:r>
        <w:rPr>
          <w:rFonts w:hint="eastAsia" w:ascii="宋体" w:hAnsi="宋体" w:cs="宋体"/>
          <w:color w:val="000000"/>
          <w:szCs w:val="21"/>
        </w:rPr>
        <w:t>技术</w:t>
      </w:r>
      <w:r>
        <w:rPr>
          <w:rFonts w:ascii="宋体" w:hAnsi="宋体" w:cs="宋体"/>
          <w:color w:val="000000"/>
          <w:szCs w:val="21"/>
        </w:rPr>
        <w:t>方案中</w:t>
      </w:r>
      <w:r>
        <w:rPr>
          <w:rFonts w:hint="eastAsia" w:ascii="宋体" w:hAnsi="宋体" w:cs="宋体"/>
          <w:color w:val="000000"/>
          <w:szCs w:val="21"/>
        </w:rPr>
        <w:t>详细</w:t>
      </w:r>
      <w:r>
        <w:rPr>
          <w:rFonts w:ascii="宋体" w:hAnsi="宋体" w:cs="宋体"/>
          <w:color w:val="000000"/>
          <w:szCs w:val="21"/>
        </w:rPr>
        <w:t>列出配置清单</w:t>
      </w:r>
      <w:r>
        <w:rPr>
          <w:rFonts w:hint="eastAsia" w:ascii="宋体" w:hAnsi="宋体" w:cs="宋体"/>
          <w:color w:val="000000"/>
          <w:szCs w:val="21"/>
        </w:rPr>
        <w:t>（</w:t>
      </w:r>
      <w:r>
        <w:rPr>
          <w:rFonts w:ascii="宋体" w:hAnsi="宋体" w:cs="宋体"/>
          <w:color w:val="000000"/>
          <w:szCs w:val="21"/>
        </w:rPr>
        <w:t>如</w:t>
      </w:r>
      <w:r>
        <w:rPr>
          <w:rFonts w:hint="eastAsia" w:ascii="宋体" w:hAnsi="宋体" w:cs="宋体"/>
          <w:color w:val="000000"/>
          <w:szCs w:val="21"/>
        </w:rPr>
        <w:t>快速</w:t>
      </w:r>
      <w:r>
        <w:rPr>
          <w:rFonts w:ascii="宋体" w:hAnsi="宋体" w:cs="宋体"/>
          <w:color w:val="000000"/>
          <w:szCs w:val="21"/>
        </w:rPr>
        <w:t>混合器、</w:t>
      </w:r>
      <w:r>
        <w:rPr>
          <w:rFonts w:hint="eastAsia" w:ascii="宋体" w:hAnsi="宋体" w:cs="宋体"/>
          <w:color w:val="000000"/>
          <w:szCs w:val="21"/>
        </w:rPr>
        <w:t>计量</w:t>
      </w:r>
      <w:r>
        <w:rPr>
          <w:rFonts w:ascii="宋体" w:hAnsi="宋体" w:cs="宋体"/>
          <w:color w:val="000000"/>
          <w:szCs w:val="21"/>
        </w:rPr>
        <w:t>泵</w:t>
      </w:r>
      <w:r>
        <w:rPr>
          <w:rFonts w:hint="eastAsia" w:ascii="宋体" w:hAnsi="宋体" w:cs="宋体"/>
          <w:color w:val="000000"/>
          <w:szCs w:val="21"/>
        </w:rPr>
        <w:t>等</w:t>
      </w:r>
      <w:r>
        <w:rPr>
          <w:rFonts w:ascii="宋体" w:hAnsi="宋体" w:cs="宋体"/>
          <w:color w:val="000000"/>
          <w:szCs w:val="21"/>
        </w:rPr>
        <w:t>）及使用原理</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5、单过硫酸氢钾复合消毒粉溶解设备</w:t>
      </w:r>
      <w:r>
        <w:rPr>
          <w:rFonts w:ascii="宋体" w:hAnsi="宋体" w:cs="宋体"/>
          <w:color w:val="000000"/>
          <w:szCs w:val="21"/>
        </w:rPr>
        <w:t>的性能参数要求</w:t>
      </w:r>
      <w:r>
        <w:rPr>
          <w:rFonts w:hint="eastAsia" w:ascii="宋体" w:hAnsi="宋体" w:cs="宋体"/>
          <w:color w:val="000000"/>
          <w:szCs w:val="21"/>
        </w:rPr>
        <w:t>:</w:t>
      </w:r>
    </w:p>
    <w:tbl>
      <w:tblPr>
        <w:tblStyle w:val="47"/>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637"/>
        <w:gridCol w:w="4538"/>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6" w:type="dxa"/>
            <w:vAlign w:val="center"/>
          </w:tcPr>
          <w:p>
            <w:pPr>
              <w:spacing w:line="360" w:lineRule="auto"/>
              <w:rPr>
                <w:rFonts w:ascii="宋体" w:hAnsi="宋体" w:cs="宋体"/>
                <w:color w:val="000000"/>
                <w:szCs w:val="21"/>
              </w:rPr>
            </w:pPr>
            <w:r>
              <w:rPr>
                <w:rFonts w:hint="eastAsia" w:ascii="宋体" w:hAnsi="宋体" w:cs="宋体"/>
                <w:color w:val="000000"/>
                <w:szCs w:val="21"/>
              </w:rPr>
              <w:t>序号</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性能</w:t>
            </w:r>
            <w:r>
              <w:rPr>
                <w:rFonts w:ascii="宋体" w:hAnsi="宋体" w:cs="宋体"/>
                <w:color w:val="000000"/>
                <w:szCs w:val="21"/>
              </w:rPr>
              <w:t>参数</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规格/要求</w:t>
            </w:r>
          </w:p>
        </w:tc>
        <w:tc>
          <w:tcPr>
            <w:tcW w:w="176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最高输出</w:t>
            </w:r>
            <w:r>
              <w:rPr>
                <w:rFonts w:ascii="宋体" w:hAnsi="宋体" w:cs="宋体"/>
                <w:color w:val="000000"/>
                <w:szCs w:val="21"/>
              </w:rPr>
              <w:t>压力</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0.5MPa</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精度</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流量</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w:t>
            </w:r>
            <w:r>
              <w:rPr>
                <w:rFonts w:hint="eastAsia" w:ascii="宋体" w:hAnsi="宋体" w:cs="宋体"/>
                <w:color w:val="000000"/>
                <w:szCs w:val="21"/>
              </w:rPr>
              <w:t>420</w:t>
            </w:r>
            <w:r>
              <w:rPr>
                <w:rFonts w:ascii="宋体" w:hAnsi="宋体" w:cs="宋体"/>
                <w:color w:val="000000"/>
                <w:szCs w:val="21"/>
              </w:rPr>
              <w:t>L/h</w:t>
            </w:r>
            <w:r>
              <w:rPr>
                <w:rFonts w:hint="eastAsia" w:ascii="宋体" w:hAnsi="宋体" w:cs="宋体"/>
                <w:color w:val="000000"/>
                <w:szCs w:val="21"/>
              </w:rPr>
              <w:t>可调</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功率</w:t>
            </w:r>
          </w:p>
        </w:tc>
        <w:tc>
          <w:tcPr>
            <w:tcW w:w="4538" w:type="dxa"/>
            <w:vAlign w:val="center"/>
          </w:tcPr>
          <w:p>
            <w:pPr>
              <w:spacing w:line="360" w:lineRule="auto"/>
              <w:jc w:val="center"/>
              <w:rPr>
                <w:rFonts w:ascii="宋体" w:hAnsi="宋体" w:cs="宋体"/>
                <w:color w:val="000000"/>
                <w:szCs w:val="21"/>
              </w:rPr>
            </w:pPr>
            <w:r>
              <w:rPr>
                <w:rFonts w:ascii="宋体" w:hAnsi="宋体" w:cs="宋体"/>
                <w:color w:val="000000"/>
                <w:szCs w:val="21"/>
              </w:rPr>
              <w:t>0.</w:t>
            </w:r>
            <w:r>
              <w:rPr>
                <w:rFonts w:hint="eastAsia" w:ascii="宋体" w:hAnsi="宋体" w:cs="宋体"/>
                <w:color w:val="000000"/>
                <w:szCs w:val="21"/>
              </w:rPr>
              <w:t>37</w:t>
            </w:r>
            <w:r>
              <w:rPr>
                <w:rFonts w:ascii="宋体" w:hAnsi="宋体" w:cs="宋体"/>
                <w:color w:val="000000"/>
                <w:szCs w:val="21"/>
              </w:rPr>
              <w:t>kw</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功能</w:t>
            </w:r>
            <w:r>
              <w:rPr>
                <w:rFonts w:ascii="宋体" w:hAnsi="宋体" w:cs="宋体"/>
                <w:color w:val="000000"/>
                <w:szCs w:val="21"/>
              </w:rPr>
              <w:t>要求</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采用磁力循环泵循环溶药，机械隔膜式计量泵投加（变频器调速，可根据设定自动调节投加量）。</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材质</w:t>
            </w:r>
            <w:r>
              <w:rPr>
                <w:rFonts w:ascii="宋体" w:hAnsi="宋体" w:cs="宋体"/>
                <w:color w:val="000000"/>
                <w:szCs w:val="21"/>
              </w:rPr>
              <w:t>要求</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设备箱体、管道、阀门、计量泵泵头</w:t>
            </w:r>
            <w:r>
              <w:rPr>
                <w:rFonts w:ascii="宋体" w:hAnsi="宋体" w:cs="宋体"/>
                <w:color w:val="000000"/>
                <w:szCs w:val="21"/>
              </w:rPr>
              <w:t>采用</w:t>
            </w:r>
            <w:r>
              <w:rPr>
                <w:rFonts w:hint="eastAsia" w:ascii="宋体" w:hAnsi="宋体" w:cs="宋体"/>
                <w:color w:val="000000"/>
                <w:szCs w:val="21"/>
              </w:rPr>
              <w:t>PVC材质</w:t>
            </w:r>
          </w:p>
        </w:tc>
        <w:tc>
          <w:tcPr>
            <w:tcW w:w="176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16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日配药次数</w:t>
            </w:r>
          </w:p>
        </w:tc>
        <w:tc>
          <w:tcPr>
            <w:tcW w:w="453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小于3</w:t>
            </w:r>
          </w:p>
        </w:tc>
        <w:tc>
          <w:tcPr>
            <w:tcW w:w="1764" w:type="dxa"/>
            <w:vAlign w:val="center"/>
          </w:tcPr>
          <w:p>
            <w:pPr>
              <w:spacing w:line="360" w:lineRule="auto"/>
              <w:jc w:val="center"/>
              <w:rPr>
                <w:rFonts w:ascii="宋体" w:hAnsi="宋体" w:cs="宋体"/>
                <w:color w:val="000000"/>
                <w:szCs w:val="21"/>
              </w:rPr>
            </w:pPr>
          </w:p>
        </w:tc>
      </w:tr>
    </w:tbl>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6、★投标人需根据技术参数要求，详细列出投标货物的性能参数情况，涉及原理及关键技术部分需详细说明，如存在含糊不清的情况，作废标处理。</w:t>
      </w:r>
    </w:p>
    <w:p>
      <w:pPr>
        <w:spacing w:line="360" w:lineRule="auto"/>
        <w:rPr>
          <w:rFonts w:ascii="宋体" w:hAnsi="宋体" w:cs="宋体"/>
          <w:color w:val="000000"/>
          <w:szCs w:val="21"/>
        </w:rPr>
      </w:pPr>
      <w:r>
        <w:rPr>
          <w:rFonts w:hint="eastAsia" w:ascii="宋体" w:hAnsi="宋体" w:cs="宋体"/>
          <w:color w:val="000000"/>
          <w:szCs w:val="21"/>
        </w:rPr>
        <w:t>7、★中标人在与采购人签订合同前必须进行</w:t>
      </w:r>
      <w:r>
        <w:rPr>
          <w:rFonts w:ascii="宋体" w:hAnsi="宋体" w:cs="宋体"/>
          <w:color w:val="000000"/>
          <w:szCs w:val="21"/>
        </w:rPr>
        <w:t>小批量送样试产（</w:t>
      </w:r>
      <w:r>
        <w:rPr>
          <w:rFonts w:hint="eastAsia" w:ascii="宋体" w:hAnsi="宋体" w:cs="宋体"/>
          <w:color w:val="000000"/>
          <w:szCs w:val="21"/>
        </w:rPr>
        <w:t>批量</w:t>
      </w:r>
      <w:r>
        <w:rPr>
          <w:rFonts w:ascii="宋体" w:hAnsi="宋体" w:cs="宋体"/>
          <w:color w:val="000000"/>
          <w:szCs w:val="21"/>
        </w:rPr>
        <w:t>不小于</w:t>
      </w:r>
      <w:r>
        <w:rPr>
          <w:rFonts w:hint="eastAsia" w:ascii="宋体" w:hAnsi="宋体" w:cs="宋体"/>
          <w:color w:val="000000"/>
          <w:szCs w:val="21"/>
        </w:rPr>
        <w:t>0.1吨），经采购人试生产符合技术要求(以用户</w:t>
      </w:r>
      <w:r>
        <w:rPr>
          <w:rFonts w:ascii="宋体" w:hAnsi="宋体" w:cs="宋体"/>
          <w:color w:val="000000"/>
          <w:szCs w:val="21"/>
        </w:rPr>
        <w:t>需求书中的技术</w:t>
      </w:r>
      <w:r>
        <w:rPr>
          <w:rFonts w:hint="eastAsia" w:ascii="宋体" w:hAnsi="宋体" w:cs="宋体"/>
          <w:color w:val="000000"/>
          <w:szCs w:val="21"/>
        </w:rPr>
        <w:t>指标或</w:t>
      </w:r>
      <w:r>
        <w:rPr>
          <w:rFonts w:ascii="宋体" w:hAnsi="宋体" w:cs="宋体"/>
          <w:color w:val="000000"/>
          <w:szCs w:val="21"/>
        </w:rPr>
        <w:t>投标人响应</w:t>
      </w:r>
      <w:r>
        <w:rPr>
          <w:rFonts w:hint="eastAsia" w:ascii="宋体" w:hAnsi="宋体" w:cs="宋体"/>
          <w:color w:val="000000"/>
          <w:szCs w:val="21"/>
        </w:rPr>
        <w:t>能达到</w:t>
      </w:r>
      <w:r>
        <w:rPr>
          <w:rFonts w:ascii="宋体" w:hAnsi="宋体" w:cs="宋体"/>
          <w:color w:val="000000"/>
          <w:szCs w:val="21"/>
        </w:rPr>
        <w:t>的技术</w:t>
      </w:r>
      <w:r>
        <w:rPr>
          <w:rFonts w:hint="eastAsia" w:ascii="宋体" w:hAnsi="宋体" w:cs="宋体"/>
          <w:color w:val="000000"/>
          <w:szCs w:val="21"/>
        </w:rPr>
        <w:t>指标要求中</w:t>
      </w:r>
      <w:r>
        <w:rPr>
          <w:rFonts w:ascii="宋体" w:hAnsi="宋体" w:cs="宋体"/>
          <w:color w:val="000000"/>
          <w:szCs w:val="21"/>
        </w:rPr>
        <w:t>较高者为准</w:t>
      </w:r>
      <w:r>
        <w:rPr>
          <w:rFonts w:hint="eastAsia" w:ascii="宋体" w:hAnsi="宋体" w:cs="宋体"/>
          <w:color w:val="000000"/>
          <w:szCs w:val="21"/>
        </w:rPr>
        <w:t>)后再签订合同（</w:t>
      </w:r>
      <w:r>
        <w:rPr>
          <w:rFonts w:ascii="宋体" w:hAnsi="宋体" w:cs="宋体"/>
          <w:color w:val="000000"/>
          <w:szCs w:val="21"/>
        </w:rPr>
        <w:t>送样的批量计入</w:t>
      </w:r>
      <w:r>
        <w:rPr>
          <w:rFonts w:hint="eastAsia" w:ascii="宋体" w:hAnsi="宋体" w:cs="宋体"/>
          <w:color w:val="000000"/>
          <w:szCs w:val="21"/>
        </w:rPr>
        <w:t>合同</w:t>
      </w:r>
      <w:r>
        <w:rPr>
          <w:rFonts w:ascii="宋体" w:hAnsi="宋体" w:cs="宋体"/>
          <w:color w:val="000000"/>
          <w:szCs w:val="21"/>
        </w:rPr>
        <w:t>范围结算）</w:t>
      </w:r>
      <w:r>
        <w:rPr>
          <w:rFonts w:hint="eastAsia" w:ascii="宋体" w:hAnsi="宋体" w:cs="宋体"/>
          <w:color w:val="000000"/>
          <w:szCs w:val="21"/>
        </w:rPr>
        <w:t>，如采购人在合同签订前送样货物的性能不满足招标文件技术要求，采购人有权取消中标人中标</w:t>
      </w:r>
      <w:r>
        <w:rPr>
          <w:rFonts w:ascii="宋体" w:hAnsi="宋体" w:cs="宋体"/>
          <w:color w:val="000000"/>
          <w:szCs w:val="21"/>
        </w:rPr>
        <w:t>资格</w:t>
      </w:r>
      <w:r>
        <w:rPr>
          <w:rFonts w:hint="eastAsia" w:ascii="宋体" w:hAnsi="宋体" w:cs="宋体"/>
          <w:color w:val="000000"/>
          <w:szCs w:val="21"/>
        </w:rPr>
        <w:t>并且将样品</w:t>
      </w:r>
      <w:r>
        <w:rPr>
          <w:rFonts w:ascii="宋体" w:hAnsi="宋体" w:cs="宋体"/>
          <w:color w:val="000000"/>
          <w:szCs w:val="21"/>
        </w:rPr>
        <w:t>退回中标人</w:t>
      </w:r>
      <w:r>
        <w:rPr>
          <w:rFonts w:hint="eastAsia" w:ascii="宋体" w:hAnsi="宋体" w:cs="宋体"/>
          <w:color w:val="000000"/>
          <w:szCs w:val="21"/>
        </w:rPr>
        <w:t>，</w:t>
      </w:r>
      <w:r>
        <w:rPr>
          <w:rFonts w:ascii="宋体" w:hAnsi="宋体" w:cs="宋体"/>
          <w:color w:val="000000"/>
          <w:szCs w:val="21"/>
        </w:rPr>
        <w:t>采购人不承担任何费用</w:t>
      </w:r>
      <w:r>
        <w:rPr>
          <w:rFonts w:hint="eastAsia" w:ascii="宋体" w:hAnsi="宋体" w:cs="宋体"/>
          <w:color w:val="000000"/>
          <w:szCs w:val="21"/>
        </w:rPr>
        <w:t>，</w:t>
      </w:r>
      <w:r>
        <w:rPr>
          <w:rFonts w:ascii="宋体" w:hAnsi="宋体" w:cs="宋体"/>
          <w:color w:val="000000"/>
          <w:szCs w:val="21"/>
        </w:rPr>
        <w:t>并</w:t>
      </w:r>
      <w:r>
        <w:rPr>
          <w:rFonts w:hint="eastAsia" w:ascii="宋体" w:hAnsi="宋体" w:cs="宋体"/>
          <w:color w:val="000000"/>
          <w:szCs w:val="21"/>
        </w:rPr>
        <w:t>组织重新招标或授予</w:t>
      </w:r>
      <w:r>
        <w:rPr>
          <w:rFonts w:ascii="宋体" w:hAnsi="宋体" w:cs="宋体"/>
          <w:color w:val="000000"/>
          <w:szCs w:val="21"/>
        </w:rPr>
        <w:t>第二中标候选人</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、中标</w:t>
      </w:r>
      <w:r>
        <w:rPr>
          <w:rFonts w:hint="eastAsia" w:ascii="宋体" w:hAnsi="宋体" w:cs="宋体"/>
          <w:color w:val="000000"/>
          <w:szCs w:val="21"/>
        </w:rPr>
        <w:t>人在</w:t>
      </w:r>
      <w:r>
        <w:rPr>
          <w:rFonts w:ascii="宋体" w:hAnsi="宋体" w:cs="宋体"/>
          <w:color w:val="000000"/>
          <w:szCs w:val="21"/>
        </w:rPr>
        <w:t>签订合同前送样试产不合格或者不能履行合同的，则采购人可</w:t>
      </w:r>
      <w:r>
        <w:rPr>
          <w:rFonts w:hint="eastAsia" w:ascii="宋体" w:hAnsi="宋体" w:cs="宋体"/>
          <w:color w:val="000000"/>
          <w:szCs w:val="21"/>
        </w:rPr>
        <w:t>组织重新招标或</w:t>
      </w:r>
      <w:r>
        <w:rPr>
          <w:rFonts w:ascii="宋体" w:hAnsi="宋体" w:cs="宋体"/>
          <w:color w:val="000000"/>
          <w:szCs w:val="21"/>
        </w:rPr>
        <w:t>启用第二中标候选人，以此类推</w:t>
      </w:r>
      <w:r>
        <w:rPr>
          <w:rFonts w:hint="eastAsia" w:ascii="宋体" w:hAnsi="宋体" w:cs="宋体"/>
          <w:color w:val="000000"/>
          <w:szCs w:val="21"/>
        </w:rPr>
        <w:t>。</w:t>
      </w:r>
    </w:p>
    <w:p>
      <w:pPr>
        <w:spacing w:line="360" w:lineRule="auto"/>
        <w:rPr>
          <w:rFonts w:ascii="宋体" w:hAnsi="宋体"/>
          <w:color w:val="000000"/>
          <w:szCs w:val="21"/>
        </w:rPr>
      </w:pPr>
      <w:r>
        <w:rPr>
          <w:rFonts w:hint="eastAsia" w:ascii="宋体" w:hAnsi="宋体" w:cs="宋体"/>
          <w:color w:val="000000"/>
          <w:szCs w:val="21"/>
        </w:rPr>
        <w:t>9、★</w:t>
      </w:r>
      <w:r>
        <w:rPr>
          <w:rFonts w:ascii="宋体" w:hAnsi="宋体" w:cs="宋体"/>
          <w:color w:val="000000"/>
          <w:szCs w:val="21"/>
        </w:rPr>
        <w:t>质量检验：货物经</w:t>
      </w:r>
      <w:r>
        <w:rPr>
          <w:rFonts w:hint="eastAsia" w:ascii="宋体" w:hAnsi="宋体" w:cs="宋体"/>
          <w:color w:val="000000"/>
          <w:szCs w:val="21"/>
        </w:rPr>
        <w:t>采购人</w:t>
      </w:r>
      <w:r>
        <w:rPr>
          <w:rFonts w:ascii="宋体" w:hAnsi="宋体" w:cs="宋体"/>
          <w:color w:val="000000"/>
          <w:szCs w:val="21"/>
        </w:rPr>
        <w:t>抽样检验</w:t>
      </w:r>
      <w:r>
        <w:rPr>
          <w:rFonts w:hint="eastAsia" w:ascii="宋体" w:hAnsi="宋体" w:cs="宋体"/>
          <w:color w:val="000000"/>
          <w:szCs w:val="21"/>
        </w:rPr>
        <w:t>（采购人所在单位实验室检测）</w:t>
      </w:r>
      <w:r>
        <w:rPr>
          <w:rFonts w:ascii="宋体" w:hAnsi="宋体" w:cs="宋体"/>
          <w:color w:val="000000"/>
          <w:szCs w:val="21"/>
        </w:rPr>
        <w:t>，若发现检验结果如有一项</w:t>
      </w:r>
      <w:r>
        <w:rPr>
          <w:rFonts w:hint="eastAsia" w:ascii="宋体" w:hAnsi="宋体" w:cs="宋体"/>
          <w:color w:val="000000"/>
          <w:szCs w:val="21"/>
        </w:rPr>
        <w:t>主要</w:t>
      </w:r>
      <w:r>
        <w:rPr>
          <w:rFonts w:ascii="宋体" w:hAnsi="宋体" w:cs="宋体"/>
          <w:color w:val="000000"/>
          <w:szCs w:val="21"/>
        </w:rPr>
        <w:t>指标不符合标准要求时，判定该批次</w:t>
      </w:r>
      <w:r>
        <w:rPr>
          <w:rFonts w:hint="eastAsia" w:ascii="宋体" w:hAnsi="宋体" w:cs="宋体"/>
          <w:color w:val="000000"/>
          <w:szCs w:val="21"/>
        </w:rPr>
        <w:t>货物</w:t>
      </w:r>
      <w:r>
        <w:rPr>
          <w:rFonts w:ascii="宋体" w:hAnsi="宋体" w:cs="宋体"/>
          <w:color w:val="000000"/>
          <w:szCs w:val="21"/>
        </w:rPr>
        <w:t>质量不合格产品，</w:t>
      </w:r>
      <w:r>
        <w:rPr>
          <w:rFonts w:hint="eastAsia" w:ascii="宋体" w:hAnsi="宋体" w:cs="宋体"/>
          <w:color w:val="000000"/>
          <w:szCs w:val="21"/>
        </w:rPr>
        <w:t>采购</w:t>
      </w:r>
      <w:r>
        <w:rPr>
          <w:rFonts w:ascii="宋体" w:hAnsi="宋体" w:cs="宋体"/>
          <w:color w:val="000000"/>
          <w:szCs w:val="21"/>
        </w:rPr>
        <w:t>人有权拒绝接收，不合格产品退回</w:t>
      </w:r>
      <w:r>
        <w:rPr>
          <w:rFonts w:hint="eastAsia" w:ascii="宋体" w:hAnsi="宋体" w:cs="宋体"/>
          <w:color w:val="000000"/>
          <w:szCs w:val="21"/>
        </w:rPr>
        <w:t>成交供应商</w:t>
      </w:r>
      <w:r>
        <w:rPr>
          <w:rFonts w:ascii="宋体" w:hAnsi="宋体" w:cs="宋体"/>
          <w:color w:val="000000"/>
          <w:szCs w:val="21"/>
        </w:rPr>
        <w:t>、并由</w:t>
      </w:r>
      <w:r>
        <w:rPr>
          <w:rFonts w:hint="eastAsia" w:ascii="宋体" w:hAnsi="宋体" w:cs="宋体"/>
          <w:color w:val="000000"/>
          <w:szCs w:val="21"/>
        </w:rPr>
        <w:t>成交供应商</w:t>
      </w:r>
      <w:r>
        <w:rPr>
          <w:rFonts w:ascii="宋体" w:hAnsi="宋体" w:cs="宋体"/>
          <w:color w:val="000000"/>
          <w:szCs w:val="21"/>
        </w:rPr>
        <w:t>自行承担运费、装卸车费用外、还应承担相应违约责任</w:t>
      </w:r>
      <w:r>
        <w:rPr>
          <w:rFonts w:hint="eastAsia" w:ascii="宋体" w:hAnsi="宋体" w:cs="宋体"/>
          <w:color w:val="000000"/>
          <w:szCs w:val="21"/>
        </w:rPr>
        <w:t>，</w:t>
      </w:r>
      <w:r>
        <w:rPr>
          <w:rFonts w:ascii="宋体" w:hAnsi="宋体" w:cs="宋体"/>
          <w:color w:val="000000"/>
          <w:szCs w:val="21"/>
        </w:rPr>
        <w:t>同时</w:t>
      </w:r>
      <w:r>
        <w:rPr>
          <w:rFonts w:hint="eastAsia" w:ascii="宋体" w:hAnsi="宋体" w:cs="宋体"/>
          <w:color w:val="000000"/>
          <w:szCs w:val="21"/>
        </w:rPr>
        <w:t>采购人</w:t>
      </w:r>
      <w:r>
        <w:rPr>
          <w:rFonts w:ascii="宋体" w:hAnsi="宋体" w:cs="宋体"/>
          <w:color w:val="000000"/>
          <w:szCs w:val="21"/>
        </w:rPr>
        <w:t>有权解除合同不予任何补偿。</w:t>
      </w:r>
    </w:p>
    <w:p>
      <w:pPr>
        <w:spacing w:line="360" w:lineRule="auto"/>
        <w:rPr>
          <w:rFonts w:ascii="宋体" w:hAnsi="宋体" w:cs="宋体"/>
          <w:color w:val="000000"/>
          <w:szCs w:val="21"/>
        </w:rPr>
      </w:pPr>
      <w:r>
        <w:rPr>
          <w:rFonts w:hint="eastAsia" w:ascii="宋体" w:hAnsi="宋体"/>
          <w:color w:val="000000"/>
          <w:szCs w:val="21"/>
        </w:rPr>
        <w:t>10</w:t>
      </w:r>
      <w:r>
        <w:rPr>
          <w:rFonts w:hint="eastAsia" w:ascii="宋体" w:hAnsi="宋体" w:cs="宋体"/>
          <w:color w:val="000000"/>
          <w:szCs w:val="21"/>
        </w:rPr>
        <w:t>、付款方式：一次性供货完毕的，所有货物验收合格后30日内一次性付清所有合同款项，如分批供货的，在该批次货物验收合格后30日内付清该批次款项。</w:t>
      </w:r>
      <w:bookmarkEnd w:id="28"/>
    </w:p>
    <w:p>
      <w:pPr>
        <w:tabs>
          <w:tab w:val="left" w:pos="1365"/>
        </w:tabs>
        <w:spacing w:line="460" w:lineRule="atLeast"/>
        <w:rPr>
          <w:color w:val="000000"/>
          <w:szCs w:val="21"/>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color w:val="000000"/>
          <w:sz w:val="24"/>
          <w:szCs w:val="24"/>
        </w:rPr>
      </w:pPr>
    </w:p>
    <w:p>
      <w:pPr>
        <w:pStyle w:val="99"/>
        <w:rPr>
          <w:rFonts w:ascii="Times New Roman"/>
        </w:rPr>
      </w:pPr>
    </w:p>
    <w:p>
      <w:pPr>
        <w:pStyle w:val="99"/>
        <w:rPr>
          <w:rFonts w:ascii="Times New Roman"/>
        </w:rPr>
      </w:pPr>
    </w:p>
    <w:p>
      <w:pPr>
        <w:pStyle w:val="99"/>
        <w:rPr>
          <w:rFonts w:ascii="Times New Roman"/>
          <w:b w:val="0"/>
        </w:rPr>
      </w:pPr>
      <w:bookmarkStart w:id="29" w:name="_Toc20498"/>
      <w:r>
        <w:rPr>
          <w:rFonts w:ascii="Times New Roman"/>
        </w:rPr>
        <w:t>第三部分   投 标 人 须 知</w:t>
      </w:r>
      <w:bookmarkEnd w:id="29"/>
    </w:p>
    <w:p>
      <w:pPr>
        <w:pStyle w:val="4"/>
        <w:jc w:val="both"/>
        <w:rPr>
          <w:rFonts w:ascii="Times New Roman" w:hAnsi="Times New Roman" w:cs="Times New Roman"/>
          <w:color w:val="auto"/>
          <w:sz w:val="24"/>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numPr>
          <w:ilvl w:val="0"/>
          <w:numId w:val="16"/>
        </w:numPr>
        <w:snapToGrid w:val="0"/>
        <w:spacing w:line="460" w:lineRule="exact"/>
        <w:jc w:val="both"/>
        <w:rPr>
          <w:b/>
          <w:sz w:val="24"/>
        </w:rPr>
      </w:pPr>
      <w:r>
        <w:rPr>
          <w:b/>
          <w:sz w:val="24"/>
        </w:rPr>
        <w:t>说明</w:t>
      </w:r>
    </w:p>
    <w:p>
      <w:pPr>
        <w:numPr>
          <w:ilvl w:val="1"/>
          <w:numId w:val="16"/>
        </w:numPr>
        <w:tabs>
          <w:tab w:val="left" w:pos="851"/>
          <w:tab w:val="clear" w:pos="644"/>
        </w:tabs>
        <w:snapToGrid w:val="0"/>
        <w:spacing w:line="460" w:lineRule="exact"/>
        <w:ind w:left="851" w:hanging="851"/>
        <w:rPr>
          <w:b/>
        </w:rPr>
      </w:pPr>
      <w:r>
        <w:t>招标范围：见本招标文件第二部分《用户需求书》。</w:t>
      </w:r>
    </w:p>
    <w:p>
      <w:pPr>
        <w:numPr>
          <w:ilvl w:val="1"/>
          <w:numId w:val="16"/>
        </w:numPr>
        <w:tabs>
          <w:tab w:val="left" w:pos="848"/>
          <w:tab w:val="clear" w:pos="644"/>
        </w:tabs>
        <w:snapToGrid w:val="0"/>
        <w:spacing w:line="460" w:lineRule="exact"/>
        <w:ind w:left="851" w:hanging="851"/>
      </w:pPr>
      <w:r>
        <w:t>在招标文件中凡有“★”标识的内容条款被视为重要的响应要求、技术指标要求和性能要求。投标人必须对此作出回答并完全满足这些要求不可以出现任何负偏离，如果出现负偏离则将被视为无效投标。</w:t>
      </w:r>
    </w:p>
    <w:p>
      <w:pPr>
        <w:numPr>
          <w:ilvl w:val="1"/>
          <w:numId w:val="16"/>
        </w:numPr>
        <w:tabs>
          <w:tab w:val="left" w:pos="851"/>
          <w:tab w:val="clear" w:pos="644"/>
        </w:tabs>
        <w:snapToGrid w:val="0"/>
        <w:spacing w:line="460" w:lineRule="exact"/>
        <w:ind w:left="851" w:hanging="851"/>
      </w:pPr>
      <w:r>
        <w:rPr>
          <w:rFonts w:ascii="宋体"/>
          <w:b/>
          <w:sz w:val="24"/>
        </w:rPr>
        <w:t>★</w:t>
      </w:r>
      <w:r>
        <w:rPr>
          <w:b/>
          <w:bCs/>
        </w:rPr>
        <w:t>本项目的最高上限价为人民币</w:t>
      </w:r>
      <w:r>
        <w:rPr>
          <w:rFonts w:hint="eastAsia"/>
          <w:b/>
          <w:bCs/>
          <w:lang w:val="en-US" w:eastAsia="zh-CN"/>
        </w:rPr>
        <w:t>1944000</w:t>
      </w:r>
      <w:r>
        <w:rPr>
          <w:b/>
          <w:bCs/>
        </w:rPr>
        <w:t>元，投标报价超过此上限价的视为无效报价，不能通过初步审查。</w:t>
      </w:r>
    </w:p>
    <w:p>
      <w:pPr>
        <w:numPr>
          <w:ilvl w:val="0"/>
          <w:numId w:val="16"/>
        </w:numPr>
        <w:snapToGrid w:val="0"/>
        <w:spacing w:line="460" w:lineRule="exact"/>
        <w:jc w:val="both"/>
        <w:rPr>
          <w:b/>
          <w:sz w:val="24"/>
        </w:rPr>
      </w:pPr>
      <w:r>
        <w:rPr>
          <w:b/>
          <w:sz w:val="24"/>
        </w:rPr>
        <w:t>定义及解释</w:t>
      </w:r>
    </w:p>
    <w:p>
      <w:pPr>
        <w:numPr>
          <w:ilvl w:val="1"/>
          <w:numId w:val="16"/>
        </w:numPr>
        <w:tabs>
          <w:tab w:val="left" w:pos="848"/>
          <w:tab w:val="clear" w:pos="644"/>
        </w:tabs>
        <w:snapToGrid w:val="0"/>
        <w:spacing w:line="460" w:lineRule="atLeast"/>
        <w:ind w:left="851" w:hanging="851"/>
        <w:jc w:val="both"/>
      </w:pPr>
      <w:r>
        <w:t>货物：指投标人为满足招标文件要求而提供的所有货物。</w:t>
      </w:r>
    </w:p>
    <w:p>
      <w:pPr>
        <w:numPr>
          <w:ilvl w:val="1"/>
          <w:numId w:val="16"/>
        </w:numPr>
        <w:tabs>
          <w:tab w:val="left" w:pos="848"/>
          <w:tab w:val="clear" w:pos="644"/>
        </w:tabs>
        <w:snapToGrid w:val="0"/>
        <w:spacing w:line="460" w:lineRule="atLeast"/>
        <w:ind w:left="851" w:hanging="851"/>
        <w:jc w:val="both"/>
      </w:pPr>
      <w:r>
        <w:t>服务：指投标人提供的货物所需的相关服务以及《用户需求书》中要求的其他服务。</w:t>
      </w:r>
    </w:p>
    <w:p>
      <w:pPr>
        <w:numPr>
          <w:ilvl w:val="1"/>
          <w:numId w:val="16"/>
        </w:numPr>
        <w:tabs>
          <w:tab w:val="left" w:pos="848"/>
          <w:tab w:val="clear" w:pos="644"/>
        </w:tabs>
        <w:snapToGrid w:val="0"/>
        <w:spacing w:line="460" w:lineRule="atLeast"/>
        <w:ind w:left="851" w:hanging="851"/>
        <w:jc w:val="both"/>
      </w:pPr>
      <w:r>
        <w:t>招标人：</w:t>
      </w:r>
      <w:r>
        <w:rPr>
          <w:rFonts w:hint="eastAsia"/>
        </w:rPr>
        <w:t>中山市坦洲镇污水处理有限公司</w:t>
      </w:r>
      <w:r>
        <w:t>。</w:t>
      </w:r>
    </w:p>
    <w:p>
      <w:pPr>
        <w:numPr>
          <w:ilvl w:val="1"/>
          <w:numId w:val="16"/>
        </w:numPr>
        <w:tabs>
          <w:tab w:val="left" w:pos="848"/>
          <w:tab w:val="clear" w:pos="644"/>
        </w:tabs>
        <w:snapToGrid w:val="0"/>
        <w:spacing w:line="460" w:lineRule="atLeast"/>
        <w:ind w:left="851" w:hanging="851"/>
        <w:jc w:val="both"/>
      </w:pPr>
      <w:r>
        <w:t>投标人：投标人是响应招标、参加投标竞争的中华人民共和国境内的法人</w:t>
      </w:r>
      <w:r>
        <w:rPr>
          <w:rFonts w:hint="eastAsia"/>
          <w:lang w:eastAsia="zh-CN"/>
        </w:rPr>
        <w:t>，</w:t>
      </w:r>
      <w:r>
        <w:rPr>
          <w:rFonts w:hint="eastAsia"/>
          <w:szCs w:val="21"/>
          <w:highlight w:val="none"/>
        </w:rPr>
        <w:t>并独立于采购人和采购代理机构</w:t>
      </w:r>
      <w:r>
        <w:t>。</w:t>
      </w:r>
    </w:p>
    <w:p>
      <w:pPr>
        <w:numPr>
          <w:ilvl w:val="1"/>
          <w:numId w:val="16"/>
        </w:numPr>
        <w:tabs>
          <w:tab w:val="left" w:pos="848"/>
          <w:tab w:val="clear" w:pos="644"/>
        </w:tabs>
        <w:snapToGrid w:val="0"/>
        <w:spacing w:line="460" w:lineRule="atLeast"/>
        <w:ind w:left="851" w:hanging="851"/>
        <w:jc w:val="both"/>
      </w:pPr>
      <w:r>
        <w:t>中标人：指由评标委员会评审推荐，经法定程序确定获得本项目中标资格的投标人。</w:t>
      </w:r>
    </w:p>
    <w:p>
      <w:pPr>
        <w:numPr>
          <w:ilvl w:val="1"/>
          <w:numId w:val="16"/>
        </w:numPr>
        <w:tabs>
          <w:tab w:val="left" w:pos="848"/>
          <w:tab w:val="clear" w:pos="644"/>
        </w:tabs>
        <w:snapToGrid w:val="0"/>
        <w:spacing w:line="460" w:lineRule="atLeast"/>
        <w:ind w:left="851" w:hanging="851"/>
        <w:jc w:val="both"/>
      </w:pPr>
      <w:r>
        <w:t>招标代理机构：</w:t>
      </w:r>
      <w:r>
        <w:rPr>
          <w:rFonts w:hint="eastAsia"/>
          <w:lang w:eastAsia="zh-CN"/>
        </w:rPr>
        <w:t>广东钧信建设管理有限公司中山分公司</w:t>
      </w:r>
      <w:r>
        <w:t>。</w:t>
      </w:r>
    </w:p>
    <w:p>
      <w:pPr>
        <w:numPr>
          <w:ilvl w:val="1"/>
          <w:numId w:val="16"/>
        </w:numPr>
        <w:tabs>
          <w:tab w:val="left" w:pos="848"/>
          <w:tab w:val="clear" w:pos="644"/>
        </w:tabs>
        <w:snapToGrid w:val="0"/>
        <w:spacing w:line="460" w:lineRule="atLeast"/>
        <w:ind w:left="851" w:hanging="851"/>
        <w:jc w:val="both"/>
      </w:pPr>
      <w:r>
        <w:t>评标委员会：评标委员会是依法组建，负责本次招标的评标工作机构。</w:t>
      </w:r>
    </w:p>
    <w:p>
      <w:pPr>
        <w:numPr>
          <w:ilvl w:val="1"/>
          <w:numId w:val="16"/>
        </w:numPr>
        <w:tabs>
          <w:tab w:val="left" w:pos="848"/>
          <w:tab w:val="clear" w:pos="644"/>
        </w:tabs>
        <w:snapToGrid w:val="0"/>
        <w:spacing w:line="460" w:lineRule="atLeast"/>
        <w:ind w:left="851" w:hanging="851"/>
        <w:jc w:val="both"/>
      </w:pPr>
      <w:r>
        <w:t>日期：指公历日。</w:t>
      </w:r>
    </w:p>
    <w:p>
      <w:pPr>
        <w:numPr>
          <w:ilvl w:val="1"/>
          <w:numId w:val="16"/>
        </w:numPr>
        <w:tabs>
          <w:tab w:val="left" w:pos="848"/>
          <w:tab w:val="clear" w:pos="644"/>
        </w:tabs>
        <w:snapToGrid w:val="0"/>
        <w:spacing w:line="460" w:lineRule="atLeast"/>
        <w:ind w:left="851" w:hanging="851"/>
        <w:jc w:val="both"/>
      </w:pPr>
      <w:r>
        <w:t>合同：指依据本次货物及服务招标结果签订的协议或者合约文件。</w:t>
      </w:r>
    </w:p>
    <w:p>
      <w:pPr>
        <w:numPr>
          <w:ilvl w:val="1"/>
          <w:numId w:val="16"/>
        </w:numPr>
        <w:tabs>
          <w:tab w:val="left" w:pos="848"/>
          <w:tab w:val="clear" w:pos="644"/>
        </w:tabs>
        <w:snapToGrid w:val="0"/>
        <w:spacing w:line="460" w:lineRule="atLeast"/>
        <w:ind w:left="851" w:hanging="851"/>
        <w:jc w:val="both"/>
      </w:pPr>
      <w:r>
        <w:t>招标文件中的标题或者题名仅起引导作用，而不应视为对招标文件内容的理解和解释。</w:t>
      </w:r>
    </w:p>
    <w:p>
      <w:pPr>
        <w:numPr>
          <w:ilvl w:val="1"/>
          <w:numId w:val="16"/>
        </w:numPr>
        <w:tabs>
          <w:tab w:val="left" w:pos="848"/>
          <w:tab w:val="clear" w:pos="644"/>
        </w:tabs>
        <w:snapToGrid w:val="0"/>
        <w:spacing w:line="460" w:lineRule="atLeast"/>
        <w:ind w:left="851" w:hanging="851"/>
        <w:jc w:val="both"/>
      </w:pPr>
      <w:r>
        <w:t>招标文件中所规定的“书面形式”，包括纸质文件和电讯文件形式，既含手写、打印或者印刷的文字资料形式，也包括电报、传真等通讯形成文件。</w:t>
      </w:r>
    </w:p>
    <w:p>
      <w:pPr>
        <w:numPr>
          <w:ilvl w:val="0"/>
          <w:numId w:val="16"/>
        </w:numPr>
        <w:spacing w:line="460" w:lineRule="exact"/>
        <w:rPr>
          <w:b/>
          <w:sz w:val="24"/>
        </w:rPr>
      </w:pPr>
      <w:r>
        <w:rPr>
          <w:b/>
          <w:sz w:val="24"/>
        </w:rPr>
        <w:t>纪律与保密事项</w:t>
      </w:r>
    </w:p>
    <w:p>
      <w:pPr>
        <w:numPr>
          <w:ilvl w:val="1"/>
          <w:numId w:val="16"/>
        </w:numPr>
        <w:tabs>
          <w:tab w:val="left" w:pos="848"/>
          <w:tab w:val="clear" w:pos="644"/>
        </w:tabs>
        <w:snapToGrid w:val="0"/>
        <w:spacing w:line="460" w:lineRule="exact"/>
        <w:ind w:left="848" w:hanging="848"/>
      </w:pPr>
      <w:r>
        <w:t>凡参与招标工作的有关人员均应自觉接受有关主管部门的监督，不得向他人透露已获得招标文件的潜在投标人的名称、数量以及可能影响公平竞争的有关招标投标的其他情况。</w:t>
      </w:r>
    </w:p>
    <w:p>
      <w:pPr>
        <w:numPr>
          <w:ilvl w:val="1"/>
          <w:numId w:val="16"/>
        </w:numPr>
        <w:tabs>
          <w:tab w:val="left" w:pos="848"/>
          <w:tab w:val="clear" w:pos="644"/>
        </w:tabs>
        <w:snapToGrid w:val="0"/>
        <w:spacing w:line="460" w:lineRule="exact"/>
        <w:ind w:left="848" w:hanging="848"/>
      </w:pPr>
      <w:r>
        <w:t>开标后，直至向中标的投标人发出《中标通知书》时止，凡与审查、澄清、评价和比较投标的有关资料以及授标意见等，均不得向投标人及与评标无关的其他人透露。</w:t>
      </w:r>
    </w:p>
    <w:p>
      <w:pPr>
        <w:numPr>
          <w:ilvl w:val="1"/>
          <w:numId w:val="16"/>
        </w:numPr>
        <w:tabs>
          <w:tab w:val="left" w:pos="848"/>
          <w:tab w:val="clear" w:pos="644"/>
        </w:tabs>
        <w:snapToGrid w:val="0"/>
        <w:spacing w:line="460" w:lineRule="exact"/>
        <w:ind w:left="848" w:hanging="848"/>
      </w:pPr>
      <w:r>
        <w:t>除投标人被要求对投标文件进行澄清外，从开标至签订合同期间，投标人不得就与其投标文件有关的事项主动与评标委员会、招标代理机构以及招标人联系。</w:t>
      </w:r>
    </w:p>
    <w:p>
      <w:pPr>
        <w:numPr>
          <w:ilvl w:val="1"/>
          <w:numId w:val="16"/>
        </w:numPr>
        <w:tabs>
          <w:tab w:val="left" w:pos="848"/>
          <w:tab w:val="clear" w:pos="644"/>
        </w:tabs>
        <w:snapToGrid w:val="0"/>
        <w:spacing w:line="460" w:lineRule="exact"/>
        <w:ind w:left="848" w:hanging="848"/>
      </w:pPr>
      <w:r>
        <w:t>从开标至签订合同期间，投标人试图在投标文件审查、澄清、比较和评价时对评标委员会和招标代理机构施加任何影响或对招标人的比较及授予合同的决定进行影响，都可能导致其投标文件被拒绝。</w:t>
      </w:r>
    </w:p>
    <w:p>
      <w:pPr>
        <w:numPr>
          <w:ilvl w:val="1"/>
          <w:numId w:val="16"/>
        </w:numPr>
        <w:tabs>
          <w:tab w:val="left" w:pos="848"/>
          <w:tab w:val="clear" w:pos="644"/>
        </w:tabs>
        <w:snapToGrid w:val="0"/>
        <w:spacing w:line="460" w:lineRule="exact"/>
        <w:ind w:left="848" w:hanging="848"/>
      </w:pPr>
      <w:r>
        <w:t>投标人不得串通作弊，以不正当的手段妨碍、排挤其他投标人，扰乱招标市场，破坏公平竞争原则。</w:t>
      </w:r>
    </w:p>
    <w:p>
      <w:pPr>
        <w:numPr>
          <w:ilvl w:val="1"/>
          <w:numId w:val="16"/>
        </w:numPr>
        <w:tabs>
          <w:tab w:val="left" w:pos="848"/>
          <w:tab w:val="clear" w:pos="644"/>
        </w:tabs>
        <w:snapToGrid w:val="0"/>
        <w:spacing w:line="460" w:lineRule="exact"/>
        <w:ind w:left="848" w:hanging="848"/>
      </w:pPr>
      <w:r>
        <w:t>获得本招标文件者，应对文件进行保密，不得用作本次投标以外的任何用途。若有要求，开标后，投标人应归还招标文件中的保密的文件和资料。</w:t>
      </w:r>
    </w:p>
    <w:p>
      <w:pPr>
        <w:numPr>
          <w:ilvl w:val="1"/>
          <w:numId w:val="16"/>
        </w:numPr>
        <w:tabs>
          <w:tab w:val="left" w:pos="848"/>
          <w:tab w:val="clear" w:pos="644"/>
        </w:tabs>
        <w:snapToGrid w:val="0"/>
        <w:spacing w:line="460" w:lineRule="exact"/>
        <w:ind w:left="848" w:hanging="848"/>
        <w:rPr>
          <w:b/>
          <w:sz w:val="24"/>
        </w:rPr>
      </w:pPr>
      <w: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p>
      <w:pPr>
        <w:numPr>
          <w:ilvl w:val="1"/>
          <w:numId w:val="16"/>
        </w:numPr>
        <w:tabs>
          <w:tab w:val="left" w:pos="848"/>
          <w:tab w:val="clear" w:pos="644"/>
        </w:tabs>
        <w:snapToGrid w:val="0"/>
        <w:spacing w:line="460" w:lineRule="exact"/>
        <w:ind w:left="848" w:hanging="848"/>
        <w:rPr>
          <w:b/>
          <w:sz w:val="24"/>
        </w:rPr>
      </w:pPr>
      <w:r>
        <w:t>投标人必须保证所提交给招标代理机构、招标人的资料和数据是真实的，并承担相应的法律责任。</w:t>
      </w:r>
    </w:p>
    <w:p>
      <w:pPr>
        <w:numPr>
          <w:ilvl w:val="0"/>
          <w:numId w:val="16"/>
        </w:numPr>
        <w:spacing w:line="460" w:lineRule="exact"/>
        <w:rPr>
          <w:b/>
          <w:sz w:val="24"/>
        </w:rPr>
      </w:pPr>
      <w:r>
        <w:rPr>
          <w:b/>
          <w:sz w:val="24"/>
        </w:rPr>
        <w:t>投标人知悉</w:t>
      </w:r>
    </w:p>
    <w:p>
      <w:pPr>
        <w:numPr>
          <w:ilvl w:val="1"/>
          <w:numId w:val="16"/>
        </w:numPr>
        <w:tabs>
          <w:tab w:val="left" w:pos="824"/>
          <w:tab w:val="clear" w:pos="644"/>
        </w:tabs>
        <w:spacing w:line="460" w:lineRule="exact"/>
        <w:ind w:left="824" w:hanging="824"/>
      </w:pPr>
      <w:r>
        <w:rPr>
          <w:spacing w:val="10"/>
        </w:rPr>
        <w:t>凡参加本次招标的投标人被视为已充分认识和理解了任何与本项目有关的影响事项和困难、风险等情况。</w:t>
      </w:r>
    </w:p>
    <w:p>
      <w:pPr>
        <w:numPr>
          <w:ilvl w:val="0"/>
          <w:numId w:val="16"/>
        </w:numPr>
        <w:snapToGrid w:val="0"/>
        <w:spacing w:line="460" w:lineRule="exact"/>
        <w:jc w:val="both"/>
        <w:rPr>
          <w:b/>
          <w:sz w:val="24"/>
        </w:rPr>
      </w:pPr>
      <w:r>
        <w:rPr>
          <w:b/>
          <w:sz w:val="24"/>
        </w:rPr>
        <w:t>保证</w:t>
      </w:r>
    </w:p>
    <w:p>
      <w:pPr>
        <w:numPr>
          <w:ilvl w:val="1"/>
          <w:numId w:val="16"/>
        </w:numPr>
        <w:tabs>
          <w:tab w:val="left" w:pos="824"/>
          <w:tab w:val="clear" w:pos="644"/>
        </w:tabs>
        <w:spacing w:line="460" w:lineRule="exact"/>
        <w:ind w:left="824" w:hanging="824"/>
        <w:rPr>
          <w:spacing w:val="10"/>
        </w:rPr>
      </w:pPr>
      <w:r>
        <w:rPr>
          <w:spacing w:val="10"/>
        </w:rPr>
        <w:t>投标人应保证所提交给招标人和招标代理机构的资料和数据是真实、合法、有效的，并承担相应的法律责任。</w:t>
      </w:r>
    </w:p>
    <w:p>
      <w:pPr>
        <w:numPr>
          <w:ilvl w:val="0"/>
          <w:numId w:val="16"/>
        </w:numPr>
        <w:snapToGrid w:val="0"/>
        <w:spacing w:line="460" w:lineRule="exact"/>
        <w:jc w:val="both"/>
        <w:rPr>
          <w:b/>
          <w:sz w:val="24"/>
        </w:rPr>
      </w:pPr>
      <w:r>
        <w:rPr>
          <w:b/>
          <w:sz w:val="24"/>
        </w:rPr>
        <w:t>招标文件构成</w:t>
      </w:r>
      <w:bookmarkStart w:id="30" w:name="_Hlt509038174"/>
      <w:bookmarkEnd w:id="30"/>
    </w:p>
    <w:p>
      <w:pPr>
        <w:numPr>
          <w:ilvl w:val="1"/>
          <w:numId w:val="17"/>
        </w:numPr>
        <w:tabs>
          <w:tab w:val="left" w:pos="644"/>
          <w:tab w:val="left" w:pos="851"/>
        </w:tabs>
        <w:snapToGrid w:val="0"/>
        <w:spacing w:line="460" w:lineRule="exact"/>
        <w:ind w:left="851" w:hanging="851"/>
        <w:jc w:val="both"/>
      </w:pPr>
      <w:r>
        <w:t>要求提供的货物、服务、招标过程和合同条件在招标文件中均有说明。招标文件包括：</w:t>
      </w:r>
    </w:p>
    <w:p>
      <w:pPr>
        <w:snapToGrid w:val="0"/>
        <w:spacing w:line="460" w:lineRule="exact"/>
        <w:ind w:left="1260"/>
        <w:jc w:val="both"/>
      </w:pPr>
      <w:r>
        <w:t>第一部分   投标邀请函</w:t>
      </w:r>
    </w:p>
    <w:p>
      <w:pPr>
        <w:snapToGrid w:val="0"/>
        <w:spacing w:line="460" w:lineRule="exact"/>
        <w:ind w:left="1260"/>
        <w:jc w:val="both"/>
      </w:pPr>
      <w:r>
        <w:t>第二部分   用户需求书</w:t>
      </w:r>
    </w:p>
    <w:p>
      <w:pPr>
        <w:snapToGrid w:val="0"/>
        <w:spacing w:line="460" w:lineRule="exact"/>
        <w:ind w:left="1260"/>
        <w:jc w:val="both"/>
      </w:pPr>
      <w:r>
        <w:t>第三部分   投标人须知</w:t>
      </w:r>
    </w:p>
    <w:p>
      <w:pPr>
        <w:keepNext w:val="0"/>
        <w:keepLines w:val="0"/>
        <w:pageBreakBefore w:val="0"/>
        <w:widowControl/>
        <w:kinsoku/>
        <w:wordWrap/>
        <w:overflowPunct/>
        <w:topLinePunct w:val="0"/>
        <w:autoSpaceDE/>
        <w:autoSpaceDN/>
        <w:bidi w:val="0"/>
        <w:adjustRightInd/>
        <w:snapToGrid w:val="0"/>
        <w:spacing w:line="466" w:lineRule="exact"/>
        <w:ind w:left="1260" w:right="0" w:rightChars="0"/>
        <w:jc w:val="both"/>
        <w:textAlignment w:val="auto"/>
        <w:outlineLvl w:val="9"/>
      </w:pPr>
      <w:r>
        <w:t>第四部分   合同书格式</w:t>
      </w:r>
    </w:p>
    <w:p>
      <w:pPr>
        <w:keepNext w:val="0"/>
        <w:keepLines w:val="0"/>
        <w:pageBreakBefore w:val="0"/>
        <w:widowControl/>
        <w:kinsoku/>
        <w:wordWrap/>
        <w:overflowPunct/>
        <w:topLinePunct w:val="0"/>
        <w:autoSpaceDE/>
        <w:autoSpaceDN/>
        <w:bidi w:val="0"/>
        <w:adjustRightInd/>
        <w:snapToGrid w:val="0"/>
        <w:spacing w:line="466" w:lineRule="exact"/>
        <w:ind w:left="1260" w:right="0" w:rightChars="0"/>
        <w:jc w:val="both"/>
        <w:textAlignment w:val="auto"/>
        <w:outlineLvl w:val="9"/>
      </w:pPr>
      <w:r>
        <w:t>第五部分   投标文件格式</w:t>
      </w:r>
    </w:p>
    <w:p>
      <w:pPr>
        <w:numPr>
          <w:ilvl w:val="0"/>
          <w:numId w:val="0"/>
        </w:numPr>
        <w:tabs>
          <w:tab w:val="left" w:pos="851"/>
        </w:tabs>
        <w:snapToGrid w:val="0"/>
        <w:spacing w:line="460" w:lineRule="exact"/>
        <w:ind w:leftChars="0" w:firstLine="840" w:firstLineChars="400"/>
        <w:jc w:val="both"/>
        <w:rPr>
          <w:rFonts w:hint="eastAsia" w:ascii="Times New Roman" w:hAnsi="Times New Roman" w:cs="Times New Roman"/>
          <w:szCs w:val="22"/>
          <w:lang w:eastAsia="zh-CN"/>
        </w:rPr>
      </w:pPr>
      <w:r>
        <w:rPr>
          <w:rFonts w:hint="eastAsia" w:ascii="Times New Roman" w:hAnsi="Times New Roman" w:cs="Times New Roman"/>
          <w:szCs w:val="22"/>
          <w:lang w:eastAsia="zh-CN"/>
        </w:rPr>
        <w:t>及</w:t>
      </w:r>
      <w:r>
        <w:rPr>
          <w:rFonts w:hint="eastAsia" w:ascii="Times New Roman" w:hAnsi="Times New Roman" w:cs="Times New Roman"/>
          <w:szCs w:val="22"/>
        </w:rPr>
        <w:t>在招标过程中由招标代理机构发出的修正和补充文件等</w:t>
      </w:r>
      <w:r>
        <w:rPr>
          <w:rFonts w:hint="eastAsia" w:ascii="Times New Roman" w:hAnsi="Times New Roman" w:cs="Times New Roman"/>
          <w:szCs w:val="22"/>
          <w:lang w:eastAsia="zh-CN"/>
        </w:rPr>
        <w:t>。</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32" w:lineRule="auto"/>
        <w:ind w:left="850" w:hanging="850"/>
        <w:jc w:val="both"/>
        <w:textAlignment w:val="auto"/>
        <w:rPr>
          <w:rFonts w:hint="eastAsia" w:ascii="Times New Roman" w:hAnsi="Times New Roman" w:cs="Times New Roman"/>
          <w:szCs w:val="22"/>
          <w:lang w:eastAsia="zh-CN"/>
        </w:rPr>
      </w:pPr>
      <w:r>
        <w:rPr>
          <w:rFonts w:hint="eastAsia" w:ascii="Times New Roman" w:hAnsi="Times New Roman" w:cs="Times New Roman"/>
          <w:szCs w:val="22"/>
          <w:lang w:val="en-US" w:eastAsia="zh-CN"/>
        </w:rPr>
        <w:t>投标人应认真阅读、并充分理解招标文件的全部内容（包括所有的补充、修改内容、重要事项、格式、条款和技术规范、参数及要求等），并应完整、真实、准确的填写招标文件中规定的所有内容。投标人没有按照招标文件要求提交全部资料，或者投标文件没有对招标文件在各方面都做出实质性响应是投标人的风险，有可能导致其投标被拒绝，或被认定为无效投标或被确定为投标无效。</w:t>
      </w:r>
    </w:p>
    <w:p>
      <w:pPr>
        <w:keepNext w:val="0"/>
        <w:keepLines w:val="0"/>
        <w:pageBreakBefore w:val="0"/>
        <w:widowControl/>
        <w:numPr>
          <w:ilvl w:val="0"/>
          <w:numId w:val="17"/>
        </w:numPr>
        <w:tabs>
          <w:tab w:val="left" w:pos="851"/>
        </w:tabs>
        <w:kinsoku/>
        <w:wordWrap/>
        <w:overflowPunct/>
        <w:topLinePunct w:val="0"/>
        <w:autoSpaceDE/>
        <w:autoSpaceDN/>
        <w:bidi w:val="0"/>
        <w:adjustRightInd/>
        <w:snapToGrid w:val="0"/>
        <w:spacing w:line="432" w:lineRule="auto"/>
        <w:ind w:left="850" w:right="0" w:rightChars="0" w:hanging="850"/>
        <w:jc w:val="both"/>
        <w:textAlignment w:val="auto"/>
        <w:outlineLvl w:val="9"/>
        <w:rPr>
          <w:b/>
          <w:sz w:val="24"/>
          <w:highlight w:val="none"/>
        </w:rPr>
      </w:pPr>
      <w:r>
        <w:rPr>
          <w:b/>
          <w:sz w:val="24"/>
          <w:highlight w:val="none"/>
        </w:rPr>
        <w:t>招标文件的澄清和修改</w:t>
      </w:r>
    </w:p>
    <w:p>
      <w:pPr>
        <w:pStyle w:val="23"/>
        <w:keepNext w:val="0"/>
        <w:keepLines w:val="0"/>
        <w:pageBreakBefore w:val="0"/>
        <w:kinsoku/>
        <w:wordWrap/>
        <w:overflowPunct/>
        <w:topLinePunct w:val="0"/>
        <w:autoSpaceDE/>
        <w:autoSpaceDN/>
        <w:bidi w:val="0"/>
        <w:adjustRightInd w:val="0"/>
        <w:snapToGrid w:val="0"/>
        <w:spacing w:line="432" w:lineRule="auto"/>
        <w:textAlignment w:val="auto"/>
        <w:rPr>
          <w:rFonts w:hint="eastAsia" w:hAnsi="宋体" w:cs="Times New Roman"/>
          <w:b/>
        </w:rPr>
      </w:pPr>
      <w:r>
        <w:rPr>
          <w:rFonts w:hint="eastAsia" w:hAnsi="宋体" w:cs="Times New Roman"/>
          <w:b/>
        </w:rPr>
        <w:t xml:space="preserve"> </w:t>
      </w:r>
      <w:r>
        <w:rPr>
          <w:rFonts w:hint="eastAsia" w:hAnsi="宋体" w:cs="Times New Roman"/>
          <w:b/>
          <w:lang w:val="en-US" w:eastAsia="zh-CN"/>
        </w:rPr>
        <w:t xml:space="preserve">    一）</w:t>
      </w:r>
      <w:r>
        <w:rPr>
          <w:rFonts w:hint="eastAsia" w:hAnsi="宋体" w:cs="Times New Roman"/>
          <w:b/>
        </w:rPr>
        <w:t>招标文件的澄清</w:t>
      </w:r>
    </w:p>
    <w:p>
      <w:pPr>
        <w:keepNext w:val="0"/>
        <w:keepLines w:val="0"/>
        <w:pageBreakBefore w:val="0"/>
        <w:kinsoku/>
        <w:wordWrap/>
        <w:overflowPunct/>
        <w:topLinePunct w:val="0"/>
        <w:autoSpaceDE/>
        <w:autoSpaceDN/>
        <w:bidi w:val="0"/>
        <w:spacing w:line="432" w:lineRule="auto"/>
        <w:ind w:left="630" w:leftChars="200" w:hanging="210" w:hangingChars="100"/>
        <w:textAlignment w:val="auto"/>
        <w:rPr>
          <w:rFonts w:hint="eastAsia" w:ascii="宋体" w:hAnsi="宋体"/>
          <w:szCs w:val="21"/>
        </w:rPr>
      </w:pPr>
      <w:r>
        <w:rPr>
          <w:rFonts w:hint="eastAsia" w:hAnsi="宋体"/>
        </w:rPr>
        <w:t>（1）</w:t>
      </w:r>
      <w:r>
        <w:rPr>
          <w:rFonts w:hint="eastAsia" w:ascii="宋体" w:hAnsi="宋体"/>
          <w:szCs w:val="21"/>
        </w:rPr>
        <w:t>投标人应仔细阅读和检查招标文件的全部内容。如发现缺页或附件不全，应及时向招标人提出，以便补齐。如有疑问，应在投标人邀请函规定的时间前以网络形式，要求招标人对招标文件予以澄清。</w:t>
      </w:r>
    </w:p>
    <w:p>
      <w:pPr>
        <w:keepNext w:val="0"/>
        <w:keepLines w:val="0"/>
        <w:pageBreakBefore w:val="0"/>
        <w:kinsoku/>
        <w:wordWrap/>
        <w:overflowPunct/>
        <w:topLinePunct w:val="0"/>
        <w:autoSpaceDE/>
        <w:autoSpaceDN/>
        <w:bidi w:val="0"/>
        <w:spacing w:line="432" w:lineRule="auto"/>
        <w:ind w:left="618" w:leftChars="200" w:hanging="198" w:hangingChars="100"/>
        <w:textAlignment w:val="auto"/>
        <w:rPr>
          <w:rFonts w:hint="eastAsia" w:ascii="宋体" w:hAnsi="宋体"/>
          <w:szCs w:val="21"/>
        </w:rPr>
      </w:pPr>
      <w:r>
        <w:rPr>
          <w:rFonts w:hint="eastAsia" w:hAnsi="宋体"/>
          <w:spacing w:val="-6"/>
        </w:rPr>
        <w:t>（2）</w:t>
      </w:r>
      <w:r>
        <w:rPr>
          <w:rFonts w:hint="eastAsia" w:ascii="宋体" w:hAnsi="宋体"/>
          <w:szCs w:val="21"/>
        </w:rPr>
        <w:t xml:space="preserve"> 招标文件的澄清的内容可能影响投标文件编制的，将在招标公告规定的投标截止时间15天前在网站上发布发给所有投标人，但不指明澄清问题的来源。如果澄清发出的时间距投标截至时间不足15天，酌情相应延长投标截止时间。</w:t>
      </w:r>
    </w:p>
    <w:p>
      <w:pPr>
        <w:keepNext w:val="0"/>
        <w:keepLines w:val="0"/>
        <w:pageBreakBefore w:val="0"/>
        <w:kinsoku/>
        <w:wordWrap/>
        <w:overflowPunct/>
        <w:topLinePunct w:val="0"/>
        <w:autoSpaceDE/>
        <w:autoSpaceDN/>
        <w:bidi w:val="0"/>
        <w:spacing w:line="432" w:lineRule="auto"/>
        <w:ind w:left="618" w:leftChars="200" w:hanging="198" w:hangingChars="100"/>
        <w:textAlignment w:val="auto"/>
        <w:rPr>
          <w:rFonts w:hint="eastAsia" w:hAnsi="宋体" w:cs="Times New Roman"/>
          <w:spacing w:val="-6"/>
        </w:rPr>
      </w:pPr>
      <w:r>
        <w:rPr>
          <w:rFonts w:hint="eastAsia" w:hAnsi="宋体" w:cs="Times New Roman"/>
          <w:spacing w:val="-6"/>
        </w:rPr>
        <w:t>（3）投标人在规定的时间内未对招标文件澄清或提出疑问的，</w:t>
      </w:r>
      <w:r>
        <w:rPr>
          <w:rFonts w:hint="eastAsia" w:hAnsi="宋体" w:cs="Times New Roman"/>
        </w:rPr>
        <w:t>招标单位将</w:t>
      </w:r>
      <w:r>
        <w:rPr>
          <w:rFonts w:hint="eastAsia" w:hAnsi="宋体" w:cs="Times New Roman"/>
          <w:spacing w:val="-6"/>
        </w:rPr>
        <w:t>视其为无异议。对招标文件中描述有歧意或前后不一致的地方，评标委员会有权进行评判，但对同一条款的评判应适用于每个投标人。</w:t>
      </w:r>
    </w:p>
    <w:p>
      <w:pPr>
        <w:pStyle w:val="23"/>
        <w:keepNext w:val="0"/>
        <w:keepLines w:val="0"/>
        <w:pageBreakBefore w:val="0"/>
        <w:kinsoku/>
        <w:wordWrap/>
        <w:overflowPunct/>
        <w:topLinePunct w:val="0"/>
        <w:autoSpaceDE/>
        <w:autoSpaceDN/>
        <w:bidi w:val="0"/>
        <w:adjustRightInd w:val="0"/>
        <w:snapToGrid w:val="0"/>
        <w:spacing w:line="432" w:lineRule="auto"/>
        <w:ind w:firstLine="422" w:firstLineChars="200"/>
        <w:textAlignment w:val="auto"/>
        <w:rPr>
          <w:rFonts w:hint="eastAsia" w:hAnsi="宋体" w:cs="Times New Roman"/>
          <w:b/>
        </w:rPr>
      </w:pPr>
      <w:r>
        <w:rPr>
          <w:rFonts w:hint="eastAsia" w:hAnsi="宋体" w:cs="Times New Roman"/>
          <w:b/>
          <w:lang w:eastAsia="zh-CN"/>
        </w:rPr>
        <w:t>二）</w:t>
      </w:r>
      <w:r>
        <w:rPr>
          <w:rFonts w:hint="eastAsia" w:hAnsi="宋体" w:cs="Times New Roman"/>
          <w:b/>
        </w:rPr>
        <w:t>招标文件的修改</w:t>
      </w:r>
    </w:p>
    <w:p>
      <w:pPr>
        <w:pStyle w:val="23"/>
        <w:keepNext w:val="0"/>
        <w:keepLines w:val="0"/>
        <w:pageBreakBefore w:val="0"/>
        <w:kinsoku/>
        <w:wordWrap/>
        <w:overflowPunct/>
        <w:topLinePunct w:val="0"/>
        <w:autoSpaceDE/>
        <w:autoSpaceDN/>
        <w:bidi w:val="0"/>
        <w:adjustRightInd w:val="0"/>
        <w:snapToGrid w:val="0"/>
        <w:spacing w:line="432" w:lineRule="auto"/>
        <w:ind w:left="630" w:leftChars="200" w:hanging="210" w:hangingChars="100"/>
        <w:textAlignment w:val="auto"/>
        <w:rPr>
          <w:rFonts w:hint="eastAsia" w:hAnsi="宋体" w:cs="Times New Roman"/>
        </w:rPr>
      </w:pPr>
      <w:r>
        <w:rPr>
          <w:rFonts w:hint="eastAsia" w:hAnsi="宋体" w:cs="Times New Roman"/>
        </w:rPr>
        <w:t>（1）在投标截止时间十五日以前，无论出于何种原因，招标单位可主动地或在解答投标人提出的疑问时对招标文件进行修改。</w:t>
      </w:r>
    </w:p>
    <w:p>
      <w:pPr>
        <w:pStyle w:val="23"/>
        <w:keepNext w:val="0"/>
        <w:keepLines w:val="0"/>
        <w:pageBreakBefore w:val="0"/>
        <w:kinsoku/>
        <w:wordWrap/>
        <w:overflowPunct/>
        <w:topLinePunct w:val="0"/>
        <w:autoSpaceDE/>
        <w:autoSpaceDN/>
        <w:bidi w:val="0"/>
        <w:adjustRightInd w:val="0"/>
        <w:snapToGrid w:val="0"/>
        <w:spacing w:line="432" w:lineRule="auto"/>
        <w:ind w:left="630" w:leftChars="200" w:hanging="210" w:hangingChars="100"/>
        <w:textAlignment w:val="auto"/>
        <w:rPr>
          <w:rFonts w:hint="eastAsia" w:hAnsi="宋体" w:cs="Times New Roman"/>
        </w:rPr>
      </w:pPr>
      <w:r>
        <w:rPr>
          <w:rFonts w:hint="eastAsia" w:hAnsi="宋体" w:cs="Times New Roman"/>
        </w:rPr>
        <w:t>（2）修改后的内容是招标文件的组成部分，将以</w:t>
      </w:r>
      <w:r>
        <w:rPr>
          <w:rFonts w:hint="eastAsia"/>
        </w:rPr>
        <w:t>网站发布信息的形式</w:t>
      </w:r>
      <w:r>
        <w:rPr>
          <w:rFonts w:hint="eastAsia" w:hAnsi="宋体" w:cs="Times New Roman"/>
        </w:rPr>
        <w:t>通知所有下载招标文件的潜在投标人，并对潜在投标人具有约束力。</w:t>
      </w:r>
    </w:p>
    <w:p>
      <w:pPr>
        <w:pStyle w:val="23"/>
        <w:keepNext w:val="0"/>
        <w:keepLines w:val="0"/>
        <w:pageBreakBefore w:val="0"/>
        <w:kinsoku/>
        <w:wordWrap/>
        <w:overflowPunct/>
        <w:topLinePunct w:val="0"/>
        <w:autoSpaceDE/>
        <w:autoSpaceDN/>
        <w:bidi w:val="0"/>
        <w:adjustRightInd w:val="0"/>
        <w:snapToGrid w:val="0"/>
        <w:spacing w:line="432" w:lineRule="auto"/>
        <w:ind w:left="630" w:leftChars="200" w:hanging="210" w:hangingChars="100"/>
        <w:textAlignment w:val="auto"/>
        <w:rPr>
          <w:rFonts w:hint="eastAsia" w:ascii="宋体" w:hAnsi="宋体"/>
          <w:szCs w:val="21"/>
        </w:rPr>
      </w:pPr>
      <w:r>
        <w:rPr>
          <w:rFonts w:hint="eastAsia" w:hAnsi="宋体"/>
        </w:rPr>
        <w:t>（3）为使投标人准备投标时有充足时间对招标文件的修改部分进行研究，招标单位可适当推迟投标截止期</w:t>
      </w:r>
      <w:r>
        <w:rPr>
          <w:rFonts w:hint="eastAsia" w:ascii="宋体" w:hAnsi="宋体"/>
          <w:szCs w:val="21"/>
        </w:rPr>
        <w:t>。</w:t>
      </w:r>
    </w:p>
    <w:p>
      <w:pPr>
        <w:keepNext w:val="0"/>
        <w:keepLines w:val="0"/>
        <w:pageBreakBefore w:val="0"/>
        <w:widowControl/>
        <w:numPr>
          <w:ilvl w:val="0"/>
          <w:numId w:val="17"/>
        </w:numPr>
        <w:tabs>
          <w:tab w:val="left" w:pos="851"/>
        </w:tabs>
        <w:kinsoku/>
        <w:wordWrap/>
        <w:overflowPunct/>
        <w:topLinePunct w:val="0"/>
        <w:autoSpaceDE/>
        <w:autoSpaceDN/>
        <w:bidi w:val="0"/>
        <w:adjustRightInd/>
        <w:snapToGrid w:val="0"/>
        <w:spacing w:line="466" w:lineRule="exact"/>
        <w:ind w:right="0" w:rightChars="0"/>
        <w:jc w:val="both"/>
        <w:textAlignment w:val="auto"/>
        <w:outlineLvl w:val="9"/>
        <w:rPr>
          <w:b/>
          <w:sz w:val="24"/>
        </w:rPr>
      </w:pPr>
      <w:r>
        <w:rPr>
          <w:b/>
          <w:sz w:val="24"/>
        </w:rPr>
        <w:t>投标语言及计量</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66" w:lineRule="exact"/>
        <w:ind w:left="851" w:right="0" w:rightChars="0" w:hanging="851"/>
        <w:jc w:val="both"/>
        <w:textAlignment w:val="auto"/>
        <w:outlineLvl w:val="9"/>
      </w:pPr>
      <w:r>
        <w:t>投标人提交的投标文件以及投标人与招标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66" w:lineRule="exact"/>
        <w:ind w:left="851" w:right="0" w:rightChars="0" w:hanging="851"/>
        <w:jc w:val="both"/>
        <w:textAlignment w:val="auto"/>
        <w:outlineLvl w:val="9"/>
        <w:rPr>
          <w:sz w:val="24"/>
        </w:rPr>
      </w:pPr>
      <w:r>
        <w:t>除在招标文件的技术规格中另有规定外，计量单位应使用中华人民共和国法定计量单位(国际单位制和国家选定的其他计量单位)。</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bCs/>
        </w:rPr>
      </w:pPr>
      <w:r>
        <w:rPr>
          <w:b/>
          <w:sz w:val="24"/>
        </w:rPr>
        <w:t>投标文件的构成</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b/>
          <w:bCs/>
        </w:rPr>
      </w:pPr>
      <w:r>
        <w:rPr>
          <w:b/>
        </w:rPr>
        <w:t>商务文件部分：</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right="0" w:rightChars="0" w:hanging="1140"/>
        <w:textAlignment w:val="auto"/>
        <w:outlineLvl w:val="9"/>
        <w:rPr>
          <w:rFonts w:hint="eastAsia" w:ascii="宋体" w:hAnsi="宋体" w:cs="宋体"/>
          <w:b/>
          <w:bCs/>
          <w:szCs w:val="21"/>
        </w:rPr>
      </w:pPr>
      <w:r>
        <w:rPr>
          <w:rFonts w:hint="eastAsia" w:ascii="宋体" w:hAnsi="宋体" w:cs="宋体"/>
          <w:b/>
          <w:bCs/>
          <w:szCs w:val="21"/>
        </w:rPr>
        <w:t>报价文件格式</w:t>
      </w:r>
    </w:p>
    <w:p>
      <w:pPr>
        <w:keepNext w:val="0"/>
        <w:keepLines w:val="0"/>
        <w:pageBreakBefore w:val="0"/>
        <w:widowControl/>
        <w:tabs>
          <w:tab w:val="left" w:pos="1272"/>
        </w:tabs>
        <w:kinsoku/>
        <w:wordWrap/>
        <w:overflowPunct/>
        <w:topLinePunct w:val="0"/>
        <w:autoSpaceDE/>
        <w:autoSpaceDN/>
        <w:bidi w:val="0"/>
        <w:adjustRightInd w:val="0"/>
        <w:spacing w:line="466" w:lineRule="exact"/>
        <w:ind w:right="0" w:rightChars="0" w:firstLine="945" w:firstLineChars="450"/>
        <w:jc w:val="left"/>
        <w:textAlignment w:val="auto"/>
        <w:outlineLvl w:val="9"/>
        <w:rPr>
          <w:rFonts w:hint="eastAsia" w:ascii="宋体" w:hAnsi="宋体" w:cs="宋体"/>
          <w:szCs w:val="21"/>
        </w:rPr>
      </w:pPr>
      <w:r>
        <w:rPr>
          <w:rFonts w:hint="eastAsia" w:ascii="宋体" w:hAnsi="宋体" w:cs="宋体"/>
          <w:szCs w:val="21"/>
        </w:rPr>
        <w:t>1、开标一览表</w:t>
      </w:r>
    </w:p>
    <w:p>
      <w:pPr>
        <w:keepNext w:val="0"/>
        <w:keepLines w:val="0"/>
        <w:pageBreakBefore w:val="0"/>
        <w:widowControl/>
        <w:tabs>
          <w:tab w:val="left" w:pos="1272"/>
        </w:tabs>
        <w:kinsoku/>
        <w:wordWrap/>
        <w:overflowPunct/>
        <w:topLinePunct w:val="0"/>
        <w:autoSpaceDE/>
        <w:autoSpaceDN/>
        <w:bidi w:val="0"/>
        <w:adjustRightInd w:val="0"/>
        <w:spacing w:line="466" w:lineRule="exact"/>
        <w:ind w:right="0" w:rightChars="0" w:firstLine="945" w:firstLineChars="450"/>
        <w:jc w:val="left"/>
        <w:textAlignment w:val="auto"/>
        <w:outlineLvl w:val="9"/>
        <w:rPr>
          <w:rFonts w:hint="eastAsia" w:ascii="宋体" w:hAnsi="宋体" w:cs="宋体"/>
          <w:szCs w:val="21"/>
        </w:rPr>
      </w:pPr>
      <w:r>
        <w:rPr>
          <w:rFonts w:hint="eastAsia" w:ascii="宋体" w:hAnsi="宋体" w:cs="宋体"/>
          <w:szCs w:val="21"/>
        </w:rPr>
        <w:t>2、详细报价清单</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left="851" w:right="0" w:rightChars="0" w:hanging="851"/>
        <w:textAlignment w:val="auto"/>
        <w:outlineLvl w:val="9"/>
        <w:rPr>
          <w:rFonts w:hint="eastAsia" w:ascii="宋体" w:hAnsi="宋体" w:cs="宋体"/>
          <w:b/>
          <w:bCs/>
          <w:szCs w:val="21"/>
        </w:rPr>
      </w:pPr>
      <w:r>
        <w:rPr>
          <w:rFonts w:hint="eastAsia" w:ascii="宋体" w:hAnsi="宋体" w:cs="宋体"/>
          <w:b/>
          <w:szCs w:val="21"/>
        </w:rPr>
        <w:t>商务文件格式：</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投标函</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法定代表人证明书/法定代表人授权书</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商务条款偏离表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重要指标响应表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投标人基本情况表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售后服务机构情况表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highlight w:val="none"/>
        </w:rPr>
      </w:pPr>
      <w:r>
        <w:rPr>
          <w:rFonts w:hint="eastAsia" w:ascii="宋体" w:hAnsi="宋体" w:cs="宋体"/>
          <w:szCs w:val="21"/>
          <w:highlight w:val="none"/>
          <w:lang w:eastAsia="zh-CN"/>
        </w:rPr>
        <w:t>近</w:t>
      </w:r>
      <w:r>
        <w:rPr>
          <w:rFonts w:hint="eastAsia" w:ascii="宋体" w:hAnsi="宋体" w:cs="宋体"/>
          <w:szCs w:val="21"/>
          <w:highlight w:val="none"/>
          <w:lang w:val="en-US" w:eastAsia="zh-CN"/>
        </w:rPr>
        <w:t>2年</w:t>
      </w:r>
      <w:r>
        <w:rPr>
          <w:rFonts w:hint="eastAsia" w:ascii="宋体" w:hAnsi="宋体" w:cs="宋体"/>
          <w:szCs w:val="21"/>
          <w:highlight w:val="none"/>
        </w:rPr>
        <w:t>承接的同类项目</w:t>
      </w:r>
      <w:r>
        <w:rPr>
          <w:rFonts w:hint="eastAsia" w:ascii="宋体" w:hAnsi="宋体" w:cs="宋体"/>
          <w:szCs w:val="21"/>
          <w:highlight w:val="none"/>
          <w:lang w:eastAsia="zh-CN"/>
        </w:rPr>
        <w:t>业绩</w:t>
      </w:r>
      <w:r>
        <w:rPr>
          <w:rFonts w:hint="eastAsia" w:ascii="宋体" w:hAnsi="宋体" w:cs="宋体"/>
          <w:szCs w:val="21"/>
          <w:highlight w:val="none"/>
        </w:rPr>
        <w:t>一览表</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投标保证金退还说明格式</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中标服务费承诺书</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rPr>
        <w:t>投标保证金汇款凭证复印件</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资格声明函</w:t>
      </w:r>
    </w:p>
    <w:p>
      <w:pPr>
        <w:keepNext w:val="0"/>
        <w:keepLines w:val="0"/>
        <w:pageBreakBefore w:val="0"/>
        <w:widowControl/>
        <w:numPr>
          <w:ilvl w:val="0"/>
          <w:numId w:val="19"/>
        </w:numPr>
        <w:tabs>
          <w:tab w:val="left" w:pos="1272"/>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其他资格证明材料</w:t>
      </w:r>
    </w:p>
    <w:p>
      <w:pPr>
        <w:keepNext w:val="0"/>
        <w:keepLines w:val="0"/>
        <w:pageBreakBefore w:val="0"/>
        <w:widowControl/>
        <w:numPr>
          <w:ilvl w:val="1"/>
          <w:numId w:val="18"/>
        </w:numPr>
        <w:tabs>
          <w:tab w:val="left" w:pos="851"/>
          <w:tab w:val="left" w:pos="926"/>
        </w:tabs>
        <w:kinsoku/>
        <w:wordWrap/>
        <w:overflowPunct/>
        <w:topLinePunct w:val="0"/>
        <w:autoSpaceDE/>
        <w:autoSpaceDN/>
        <w:bidi w:val="0"/>
        <w:snapToGrid w:val="0"/>
        <w:spacing w:line="466" w:lineRule="exact"/>
        <w:ind w:left="851" w:right="0" w:rightChars="0" w:hanging="851"/>
        <w:textAlignment w:val="auto"/>
        <w:outlineLvl w:val="9"/>
        <w:rPr>
          <w:rFonts w:hint="eastAsia" w:ascii="宋体" w:hAnsi="宋体" w:cs="宋体"/>
          <w:b/>
          <w:szCs w:val="21"/>
        </w:rPr>
      </w:pPr>
      <w:r>
        <w:rPr>
          <w:rFonts w:hint="eastAsia" w:ascii="宋体" w:hAnsi="宋体" w:cs="宋体"/>
          <w:b/>
          <w:szCs w:val="21"/>
        </w:rPr>
        <w:t>技术文件格式</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rPr>
        <w:t>技术规格偏离表</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lang w:eastAsia="zh-CN"/>
        </w:rPr>
        <w:t>技术方案</w:t>
      </w:r>
    </w:p>
    <w:p>
      <w:pPr>
        <w:pStyle w:val="7"/>
        <w:keepNext w:val="0"/>
        <w:keepLines w:val="0"/>
        <w:pageBreakBefore w:val="0"/>
        <w:widowControl/>
        <w:numPr>
          <w:ilvl w:val="0"/>
          <w:numId w:val="20"/>
        </w:numPr>
        <w:tabs>
          <w:tab w:val="left" w:pos="1260"/>
        </w:tabs>
        <w:kinsoku/>
        <w:wordWrap/>
        <w:overflowPunct/>
        <w:topLinePunct w:val="0"/>
        <w:autoSpaceDE/>
        <w:autoSpaceDN/>
        <w:bidi w:val="0"/>
        <w:adjustRightInd w:val="0"/>
        <w:spacing w:line="466" w:lineRule="exact"/>
        <w:ind w:right="0" w:rightChars="0"/>
        <w:jc w:val="left"/>
        <w:textAlignment w:val="auto"/>
        <w:outlineLvl w:val="9"/>
        <w:rPr>
          <w:rFonts w:hint="eastAsia" w:ascii="宋体" w:hAnsi="宋体" w:cs="宋体"/>
          <w:szCs w:val="21"/>
        </w:rPr>
      </w:pPr>
      <w:r>
        <w:rPr>
          <w:rFonts w:hint="eastAsia" w:ascii="宋体" w:hAnsi="宋体" w:cs="宋体"/>
          <w:szCs w:val="21"/>
        </w:rPr>
        <w:t>投标人认为必要的其他技术资料</w:t>
      </w:r>
    </w:p>
    <w:p>
      <w:pPr>
        <w:keepNext w:val="0"/>
        <w:keepLines w:val="0"/>
        <w:pageBreakBefore w:val="0"/>
        <w:widowControl/>
        <w:kinsoku/>
        <w:wordWrap/>
        <w:overflowPunct/>
        <w:topLinePunct w:val="0"/>
        <w:autoSpaceDE/>
        <w:autoSpaceDN/>
        <w:bidi w:val="0"/>
        <w:snapToGrid w:val="0"/>
        <w:spacing w:line="466" w:lineRule="exact"/>
        <w:ind w:right="0" w:rightChars="0" w:firstLine="105" w:firstLineChars="50"/>
        <w:jc w:val="both"/>
        <w:textAlignment w:val="auto"/>
        <w:outlineLvl w:val="9"/>
        <w:rPr>
          <w:b/>
          <w:bCs/>
        </w:rPr>
      </w:pPr>
      <w:r>
        <w:rPr>
          <w:b/>
          <w:bCs/>
        </w:rPr>
        <w:t>投标人有义务按照以上构成要求将投标文件编上唯一的连贯页码并装订成册，不得出现重页或缺页。</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投标报价说明</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投标人应按招标文件格式要求填写《详细报价清单》。</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投标人所报的投标价在合同执行期间是固定不变的，不得以任何理由予以变更。投标价不是固定价的投标文件将作为非响应性投标而予以拒绝。</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投标报价应为所投项目的最终报价，包含一切税费；投标人应自行增加系统正常、合法运行及使用所必需但招标文件没有包含的所有部件、版权、专利等一切费用，如果投标人在中标并签署合同后，在供货、安装、调试、培训等工作中出现硬件、软件等的任何遗漏，均由中标人免费提供，招标方将不再支付任何费用。</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投标货币</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投标人提供的货物和服务价格用人民币报价。</w:t>
      </w:r>
    </w:p>
    <w:p>
      <w:pPr>
        <w:keepNext w:val="0"/>
        <w:keepLines w:val="0"/>
        <w:pageBreakBefore w:val="0"/>
        <w:widowControl/>
        <w:numPr>
          <w:ilvl w:val="0"/>
          <w:numId w:val="17"/>
        </w:numPr>
        <w:tabs>
          <w:tab w:val="left" w:pos="851"/>
        </w:tabs>
        <w:kinsoku/>
        <w:wordWrap/>
        <w:overflowPunct/>
        <w:topLinePunct w:val="0"/>
        <w:autoSpaceDE/>
        <w:autoSpaceDN/>
        <w:bidi w:val="0"/>
        <w:snapToGrid w:val="0"/>
        <w:spacing w:line="466" w:lineRule="exact"/>
        <w:ind w:right="0" w:rightChars="0"/>
        <w:jc w:val="both"/>
        <w:textAlignment w:val="auto"/>
        <w:outlineLvl w:val="9"/>
        <w:rPr>
          <w:b/>
          <w:sz w:val="24"/>
        </w:rPr>
      </w:pPr>
      <w:r>
        <w:rPr>
          <w:b/>
          <w:sz w:val="24"/>
        </w:rPr>
        <w:t>证明投标人合资格的文件</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投标人应提交证明其有资格参加投标和中标后有能力履行合同的文件，以及证明其拟供的合同项下的货物和服务的合格性符合招标文件规定的文件，并作为其投标文件的一部分。</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pPr>
      <w:r>
        <w:t>投标人提交的中标后履行合同的资格证明文件应满足招标文件中对资格证明文件的要求。</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0" w:lineRule="exact"/>
        <w:ind w:left="851" w:right="0" w:rightChars="0" w:hanging="851"/>
        <w:jc w:val="both"/>
        <w:textAlignment w:val="auto"/>
        <w:outlineLvl w:val="9"/>
      </w:pPr>
      <w:r>
        <w:t>证明货物和服务与招标文件的要求相一致的文件，可以是文字资料、图纸，包括货物的主要指标、性能和系统安装调试、验收的详细说明。</w:t>
      </w:r>
    </w:p>
    <w:p>
      <w:pPr>
        <w:numPr>
          <w:ilvl w:val="0"/>
          <w:numId w:val="17"/>
        </w:numPr>
        <w:tabs>
          <w:tab w:val="left" w:pos="851"/>
        </w:tabs>
        <w:snapToGrid w:val="0"/>
        <w:spacing w:line="460" w:lineRule="exact"/>
        <w:jc w:val="both"/>
        <w:rPr>
          <w:b/>
          <w:sz w:val="24"/>
        </w:rPr>
      </w:pPr>
      <w:r>
        <w:rPr>
          <w:b/>
          <w:sz w:val="24"/>
        </w:rPr>
        <w:t>投标保证金</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投标人应按招标文件规定的金额和期限交纳投标保证金，投标保证金作为投标文件的组成部分。</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08" w:lineRule="auto"/>
        <w:ind w:left="850" w:right="0" w:rightChars="0" w:hanging="850"/>
        <w:jc w:val="both"/>
        <w:textAlignment w:val="auto"/>
        <w:outlineLvl w:val="9"/>
        <w:rPr>
          <w:rFonts w:hint="eastAsia"/>
          <w:szCs w:val="22"/>
        </w:rPr>
      </w:pPr>
      <w:r>
        <w:rPr>
          <w:rFonts w:hint="eastAsia"/>
          <w:szCs w:val="22"/>
        </w:rPr>
        <w:t>投标人必须按</w:t>
      </w:r>
      <w:r>
        <w:rPr>
          <w:rFonts w:hint="eastAsia" w:ascii="宋体" w:hAnsi="宋体"/>
          <w:szCs w:val="21"/>
        </w:rPr>
        <w:t>招标公告及招标文件第一部分《投标邀请函》规定交纳投标保证金</w:t>
      </w:r>
      <w:r>
        <w:rPr>
          <w:rFonts w:hint="eastAsia"/>
          <w:szCs w:val="22"/>
        </w:rPr>
        <w:t>，</w:t>
      </w:r>
      <w:r>
        <w:rPr>
          <w:rFonts w:hint="eastAsia"/>
          <w:b/>
          <w:bCs/>
          <w:szCs w:val="22"/>
          <w:u w:val="single"/>
        </w:rPr>
        <w:t>投标保证金为</w:t>
      </w:r>
      <w:r>
        <w:rPr>
          <w:rFonts w:hint="eastAsia"/>
          <w:b/>
          <w:bCs/>
          <w:color w:val="000000" w:themeColor="text1"/>
          <w:szCs w:val="22"/>
          <w:u w:val="single"/>
        </w:rPr>
        <w:t>：¥</w:t>
      </w:r>
      <w:r>
        <w:rPr>
          <w:rFonts w:hint="eastAsia"/>
          <w:b/>
          <w:bCs/>
          <w:color w:val="000000" w:themeColor="text1"/>
          <w:szCs w:val="22"/>
          <w:u w:val="single"/>
          <w:lang w:val="en-US" w:eastAsia="zh-CN"/>
        </w:rPr>
        <w:t>38000</w:t>
      </w:r>
      <w:r>
        <w:rPr>
          <w:rFonts w:hint="eastAsia"/>
          <w:b/>
          <w:bCs/>
          <w:color w:val="000000" w:themeColor="text1"/>
          <w:szCs w:val="22"/>
          <w:u w:val="single"/>
        </w:rPr>
        <w:t>.00（大写：人民币</w:t>
      </w:r>
      <w:r>
        <w:rPr>
          <w:rFonts w:hint="eastAsia"/>
          <w:b/>
          <w:bCs/>
          <w:color w:val="000000" w:themeColor="text1"/>
          <w:szCs w:val="22"/>
          <w:u w:val="single"/>
          <w:lang w:eastAsia="zh-CN"/>
        </w:rPr>
        <w:t>叁万捌仟</w:t>
      </w:r>
      <w:r>
        <w:rPr>
          <w:rFonts w:hint="eastAsia"/>
          <w:b/>
          <w:bCs/>
          <w:color w:val="000000" w:themeColor="text1"/>
          <w:szCs w:val="22"/>
          <w:u w:val="single"/>
        </w:rPr>
        <w:t>元整）</w:t>
      </w:r>
      <w:r>
        <w:rPr>
          <w:rFonts w:hint="eastAsia"/>
          <w:b/>
          <w:bCs/>
          <w:color w:val="000000" w:themeColor="text1"/>
          <w:szCs w:val="22"/>
        </w:rPr>
        <w:t>。</w:t>
      </w:r>
      <w:r>
        <w:rPr>
          <w:rFonts w:hint="eastAsia"/>
          <w:szCs w:val="22"/>
        </w:rPr>
        <w:t xml:space="preserve"> </w:t>
      </w:r>
    </w:p>
    <w:p>
      <w:pPr>
        <w:keepNext w:val="0"/>
        <w:keepLines w:val="0"/>
        <w:pageBreakBefore w:val="0"/>
        <w:widowControl/>
        <w:numPr>
          <w:ilvl w:val="1"/>
          <w:numId w:val="17"/>
        </w:numPr>
        <w:tabs>
          <w:tab w:val="left" w:pos="644"/>
          <w:tab w:val="left" w:pos="851"/>
        </w:tabs>
        <w:kinsoku/>
        <w:wordWrap/>
        <w:overflowPunct/>
        <w:topLinePunct w:val="0"/>
        <w:autoSpaceDE/>
        <w:autoSpaceDN/>
        <w:bidi w:val="0"/>
        <w:adjustRightInd/>
        <w:snapToGrid w:val="0"/>
        <w:spacing w:line="408" w:lineRule="auto"/>
        <w:ind w:left="850" w:right="0" w:rightChars="0" w:hanging="850"/>
        <w:jc w:val="both"/>
        <w:textAlignment w:val="auto"/>
        <w:outlineLvl w:val="9"/>
        <w:rPr>
          <w:rFonts w:hint="eastAsia"/>
          <w:szCs w:val="22"/>
        </w:rPr>
      </w:pPr>
      <w:r>
        <w:rPr>
          <w:rFonts w:hint="eastAsia"/>
          <w:szCs w:val="22"/>
        </w:rPr>
        <w:t xml:space="preserve">  投标保证金必须通过投标人已在中山市公共资源交易中心的企业信息库中登记的基本账户（基本账户的企业名称须与投标人名称一致）转入，投标保证金账号由投标人通过综合交易系统申请并按照缴纳保证金通知书上内容缴纳（如不按要求缴纳，视为无效保证金）</w:t>
      </w:r>
    </w:p>
    <w:p>
      <w:pPr>
        <w:keepNext w:val="0"/>
        <w:keepLines w:val="0"/>
        <w:pageBreakBefore w:val="0"/>
        <w:widowControl w:val="0"/>
        <w:kinsoku/>
        <w:wordWrap/>
        <w:overflowPunct/>
        <w:topLinePunct w:val="0"/>
        <w:autoSpaceDE/>
        <w:autoSpaceDN/>
        <w:bidi w:val="0"/>
        <w:adjustRightInd w:val="0"/>
        <w:snapToGrid w:val="0"/>
        <w:spacing w:line="408" w:lineRule="auto"/>
        <w:ind w:left="630" w:hanging="630" w:hangingChars="300"/>
        <w:jc w:val="both"/>
        <w:textAlignment w:val="auto"/>
        <w:rPr>
          <w:rFonts w:hint="eastAsia" w:ascii="宋体" w:hAnsi="宋体" w:cs="宋体"/>
          <w:kern w:val="2"/>
          <w:szCs w:val="21"/>
        </w:rPr>
      </w:pPr>
      <w:r>
        <w:rPr>
          <w:rFonts w:hint="eastAsia" w:ascii="宋体" w:hAnsi="宋体" w:cs="宋体"/>
          <w:kern w:val="2"/>
          <w:szCs w:val="21"/>
        </w:rPr>
        <w:t xml:space="preserve">  </w:t>
      </w:r>
      <w:r>
        <w:rPr>
          <w:rFonts w:hint="eastAsia" w:ascii="宋体" w:hAnsi="宋体" w:cs="宋体"/>
          <w:kern w:val="2"/>
          <w:szCs w:val="21"/>
          <w:lang w:val="en-US" w:eastAsia="zh-CN"/>
        </w:rPr>
        <w:t xml:space="preserve">     </w:t>
      </w:r>
      <w:r>
        <w:rPr>
          <w:rFonts w:hint="eastAsia" w:ascii="宋体" w:hAnsi="宋体" w:cs="宋体"/>
          <w:kern w:val="2"/>
          <w:szCs w:val="21"/>
        </w:rPr>
        <w:t>具体操作方法请登录“中山市公共资源交易网&gt;&gt;服务指南&gt;&gt;</w:t>
      </w:r>
      <w:r>
        <w:rPr>
          <w:rFonts w:hint="eastAsia" w:ascii="宋体" w:hAnsi="宋体" w:cs="宋体"/>
          <w:kern w:val="2"/>
          <w:szCs w:val="21"/>
          <w:lang w:eastAsia="zh-CN"/>
        </w:rPr>
        <w:t>资料下载</w:t>
      </w:r>
      <w:r>
        <w:rPr>
          <w:rFonts w:hint="eastAsia" w:ascii="宋体" w:hAnsi="宋体" w:cs="宋体"/>
          <w:kern w:val="2"/>
          <w:szCs w:val="21"/>
        </w:rPr>
        <w:t>&gt;&gt;</w:t>
      </w:r>
      <w:r>
        <w:rPr>
          <w:rFonts w:hint="eastAsia" w:hAnsi="宋体"/>
          <w:szCs w:val="21"/>
        </w:rPr>
        <w:t>下载招标采购管理-投标企业操作手册V1.1。</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凡未按规定交纳投标保证金的投标，为无效投标。</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投标保证金的退还</w:t>
      </w:r>
    </w:p>
    <w:p>
      <w:pPr>
        <w:widowControl w:val="0"/>
        <w:adjustRightInd w:val="0"/>
        <w:snapToGrid w:val="0"/>
        <w:spacing w:line="360" w:lineRule="auto"/>
        <w:ind w:left="630" w:leftChars="200" w:hanging="210" w:hangingChars="100"/>
        <w:jc w:val="both"/>
        <w:rPr>
          <w:rFonts w:ascii="宋体" w:cs="宋体"/>
          <w:kern w:val="2"/>
          <w:szCs w:val="21"/>
        </w:rPr>
      </w:pPr>
      <w:r>
        <w:rPr>
          <w:rFonts w:hint="eastAsia" w:ascii="宋体" w:hAnsi="宋体" w:cs="宋体"/>
          <w:kern w:val="2"/>
          <w:szCs w:val="21"/>
          <w:lang w:val="en-US" w:eastAsia="zh-CN"/>
        </w:rPr>
        <w:t>a.</w:t>
      </w:r>
      <w:r>
        <w:rPr>
          <w:rFonts w:hint="eastAsia" w:ascii="宋体" w:hAnsi="宋体" w:cs="宋体"/>
          <w:kern w:val="2"/>
          <w:szCs w:val="21"/>
        </w:rPr>
        <w:t>未中标的投标人保证金，</w:t>
      </w:r>
      <w:r>
        <w:rPr>
          <w:rFonts w:hint="eastAsia" w:ascii="宋体" w:hAnsi="宋体"/>
        </w:rPr>
        <w:t>将在投标有效期满后或在</w:t>
      </w:r>
      <w:r>
        <w:rPr>
          <w:rFonts w:hint="eastAsia" w:ascii="宋体" w:hAnsi="宋体" w:cs="宋体"/>
          <w:kern w:val="2"/>
          <w:szCs w:val="21"/>
        </w:rPr>
        <w:t>中标通知书发出之日起后</w:t>
      </w:r>
      <w:r>
        <w:rPr>
          <w:rFonts w:ascii="宋体" w:hAnsi="宋体" w:cs="宋体"/>
          <w:kern w:val="2"/>
          <w:szCs w:val="21"/>
        </w:rPr>
        <w:t>5</w:t>
      </w:r>
      <w:r>
        <w:rPr>
          <w:rFonts w:hint="eastAsia" w:ascii="宋体" w:hAnsi="宋体" w:cs="宋体"/>
          <w:kern w:val="2"/>
          <w:szCs w:val="21"/>
        </w:rPr>
        <w:t>个工作日内退还；</w:t>
      </w:r>
    </w:p>
    <w:p>
      <w:pPr>
        <w:widowControl w:val="0"/>
        <w:adjustRightInd w:val="0"/>
        <w:snapToGrid w:val="0"/>
        <w:spacing w:line="360" w:lineRule="auto"/>
        <w:ind w:left="630" w:leftChars="200" w:hanging="210" w:hangingChars="100"/>
        <w:jc w:val="both"/>
        <w:rPr>
          <w:rFonts w:ascii="宋体" w:hAnsi="宋体" w:cs="宋体"/>
          <w:kern w:val="2"/>
          <w:szCs w:val="21"/>
        </w:rPr>
      </w:pPr>
      <w:r>
        <w:rPr>
          <w:rFonts w:hint="eastAsia" w:ascii="宋体" w:hAnsi="宋体" w:cs="宋体"/>
          <w:kern w:val="2"/>
          <w:szCs w:val="21"/>
          <w:lang w:val="en-US" w:eastAsia="zh-CN"/>
        </w:rPr>
        <w:t>b.</w:t>
      </w:r>
      <w:r>
        <w:rPr>
          <w:rFonts w:hint="eastAsia" w:ascii="宋体" w:hAnsi="宋体" w:cs="宋体"/>
          <w:kern w:val="2"/>
          <w:szCs w:val="21"/>
        </w:rPr>
        <w:t>自合同签订之日起5个工作日内退还中标人的投标保证金，退还投标保证金须同时满足以下要求：</w:t>
      </w:r>
    </w:p>
    <w:p>
      <w:pPr>
        <w:widowControl w:val="0"/>
        <w:adjustRightInd w:val="0"/>
        <w:snapToGrid w:val="0"/>
        <w:spacing w:line="360" w:lineRule="auto"/>
        <w:ind w:left="630" w:leftChars="200" w:hanging="210" w:hangingChars="100"/>
        <w:jc w:val="both"/>
        <w:rPr>
          <w:rFonts w:ascii="宋体" w:hAnsi="宋体" w:cs="宋体"/>
          <w:kern w:val="2"/>
          <w:szCs w:val="21"/>
          <w:highlight w:val="none"/>
        </w:rPr>
      </w:pPr>
      <w:r>
        <w:rPr>
          <w:rFonts w:hint="eastAsia" w:ascii="宋体" w:hAnsi="宋体" w:cs="宋体"/>
          <w:kern w:val="2"/>
          <w:szCs w:val="21"/>
          <w:highlight w:val="none"/>
          <w:lang w:val="en-US" w:eastAsia="zh-CN"/>
        </w:rPr>
        <w:t xml:space="preserve">1) </w:t>
      </w:r>
      <w:r>
        <w:rPr>
          <w:rFonts w:hint="eastAsia" w:ascii="宋体" w:hAnsi="宋体" w:cs="宋体"/>
          <w:kern w:val="2"/>
          <w:szCs w:val="21"/>
          <w:highlight w:val="none"/>
        </w:rPr>
        <w:t>中标人签订合同后须立即将该合同原件送达招标代理机构</w:t>
      </w:r>
      <w:r>
        <w:rPr>
          <w:rFonts w:hint="eastAsia" w:ascii="宋体" w:hAnsi="宋体" w:cs="宋体"/>
          <w:kern w:val="2"/>
          <w:szCs w:val="21"/>
          <w:highlight w:val="none"/>
          <w:lang w:eastAsia="zh-CN"/>
        </w:rPr>
        <w:t>，并由</w:t>
      </w:r>
      <w:r>
        <w:rPr>
          <w:rFonts w:hint="eastAsia" w:ascii="宋体" w:hAnsi="宋体" w:cs="宋体"/>
          <w:kern w:val="2"/>
          <w:szCs w:val="21"/>
          <w:highlight w:val="none"/>
        </w:rPr>
        <w:t>招标代理机构上传合同。</w:t>
      </w:r>
    </w:p>
    <w:p>
      <w:pPr>
        <w:widowControl w:val="0"/>
        <w:adjustRightInd w:val="0"/>
        <w:snapToGrid w:val="0"/>
        <w:spacing w:line="360" w:lineRule="auto"/>
        <w:ind w:firstLine="420" w:firstLineChars="200"/>
        <w:jc w:val="both"/>
        <w:rPr>
          <w:rFonts w:ascii="宋体" w:hAnsi="宋体" w:cs="宋体"/>
          <w:kern w:val="2"/>
          <w:szCs w:val="21"/>
          <w:highlight w:val="none"/>
        </w:rPr>
      </w:pPr>
      <w:r>
        <w:rPr>
          <w:rFonts w:hint="eastAsia" w:ascii="宋体" w:hAnsi="宋体" w:cs="宋体"/>
          <w:kern w:val="2"/>
          <w:szCs w:val="21"/>
          <w:highlight w:val="none"/>
          <w:lang w:val="en-US" w:eastAsia="zh-CN"/>
        </w:rPr>
        <w:t xml:space="preserve">2) </w:t>
      </w:r>
      <w:r>
        <w:rPr>
          <w:rFonts w:hint="eastAsia" w:ascii="宋体" w:hAnsi="宋体" w:cs="宋体"/>
          <w:kern w:val="2"/>
          <w:szCs w:val="21"/>
          <w:highlight w:val="none"/>
        </w:rPr>
        <w:t>中标人按本须知规定交纳招标代理服务费。</w:t>
      </w:r>
    </w:p>
    <w:p>
      <w:pPr>
        <w:widowControl w:val="0"/>
        <w:adjustRightInd w:val="0"/>
        <w:snapToGrid w:val="0"/>
        <w:spacing w:line="360" w:lineRule="auto"/>
        <w:ind w:firstLine="420" w:firstLineChars="200"/>
        <w:jc w:val="both"/>
        <w:rPr>
          <w:rFonts w:ascii="宋体" w:hAnsi="宋体" w:cs="宋体"/>
          <w:kern w:val="2"/>
          <w:szCs w:val="21"/>
        </w:rPr>
      </w:pPr>
      <w:r>
        <w:rPr>
          <w:rFonts w:hint="eastAsia" w:ascii="宋体" w:hAnsi="宋体" w:cs="宋体"/>
          <w:kern w:val="2"/>
          <w:szCs w:val="21"/>
          <w:lang w:val="en-US" w:eastAsia="zh-CN"/>
        </w:rPr>
        <w:t xml:space="preserve">3) </w:t>
      </w:r>
      <w:r>
        <w:rPr>
          <w:rFonts w:hint="eastAsia" w:ascii="宋体" w:hAnsi="宋体" w:cs="宋体"/>
          <w:kern w:val="2"/>
          <w:szCs w:val="21"/>
        </w:rPr>
        <w:t>若中标人未按要求上传并送达合同的，由此造成的后果由中标人负责。</w:t>
      </w:r>
    </w:p>
    <w:p>
      <w:pPr>
        <w:keepNext w:val="0"/>
        <w:keepLines w:val="0"/>
        <w:pageBreakBefore w:val="0"/>
        <w:widowControl/>
        <w:numPr>
          <w:ilvl w:val="1"/>
          <w:numId w:val="17"/>
        </w:numPr>
        <w:tabs>
          <w:tab w:val="left" w:pos="644"/>
          <w:tab w:val="left" w:pos="851"/>
        </w:tabs>
        <w:kinsoku/>
        <w:wordWrap/>
        <w:overflowPunct/>
        <w:topLinePunct w:val="0"/>
        <w:autoSpaceDE/>
        <w:autoSpaceDN/>
        <w:bidi w:val="0"/>
        <w:snapToGrid w:val="0"/>
        <w:spacing w:line="466" w:lineRule="exact"/>
        <w:ind w:left="851" w:right="0" w:rightChars="0" w:hanging="851"/>
        <w:jc w:val="both"/>
        <w:textAlignment w:val="auto"/>
        <w:outlineLvl w:val="9"/>
        <w:rPr>
          <w:rFonts w:hint="eastAsia"/>
          <w:szCs w:val="22"/>
        </w:rPr>
      </w:pPr>
      <w:r>
        <w:rPr>
          <w:rFonts w:hint="eastAsia"/>
          <w:szCs w:val="22"/>
        </w:rPr>
        <w:t>下列任一情况发生时，投标保证金将不予退还：</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1）中标后无正当理由放弃中标或中标人在规定期限内未能根据本须知规定签订合同的；</w:t>
      </w:r>
    </w:p>
    <w:p>
      <w:pPr>
        <w:widowControl w:val="0"/>
        <w:adjustRightInd w:val="0"/>
        <w:snapToGrid w:val="0"/>
        <w:spacing w:line="360" w:lineRule="auto"/>
        <w:ind w:left="630" w:leftChars="200" w:hanging="210" w:hangingChars="100"/>
        <w:jc w:val="both"/>
        <w:rPr>
          <w:rFonts w:hint="eastAsia" w:ascii="宋体" w:hAnsi="宋体" w:cs="宋体"/>
          <w:bCs/>
          <w:kern w:val="2"/>
          <w:szCs w:val="21"/>
        </w:rPr>
      </w:pPr>
      <w:r>
        <w:rPr>
          <w:rFonts w:hint="eastAsia" w:ascii="宋体" w:hAnsi="宋体" w:cs="宋体"/>
          <w:bCs/>
          <w:kern w:val="2"/>
          <w:szCs w:val="21"/>
        </w:rPr>
        <w:t>2) 将中标项目转让给他人，或者在投标文件中未说明，且未经招标人同意，违反招标文件规定，将中标项目分包给他人的。</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3) 投标人在投标文件中规定的投标有效期内撤回其投标。</w:t>
      </w:r>
    </w:p>
    <w:p>
      <w:pPr>
        <w:widowControl w:val="0"/>
        <w:adjustRightInd w:val="0"/>
        <w:snapToGrid w:val="0"/>
        <w:spacing w:line="360" w:lineRule="auto"/>
        <w:ind w:firstLine="424" w:firstLineChars="202"/>
        <w:jc w:val="both"/>
        <w:rPr>
          <w:rFonts w:hint="eastAsia" w:ascii="宋体" w:hAnsi="宋体" w:cs="宋体"/>
          <w:bCs/>
          <w:kern w:val="2"/>
          <w:szCs w:val="21"/>
        </w:rPr>
      </w:pPr>
      <w:r>
        <w:rPr>
          <w:rFonts w:hint="eastAsia" w:ascii="宋体" w:hAnsi="宋体" w:cs="宋体"/>
          <w:bCs/>
          <w:kern w:val="2"/>
          <w:szCs w:val="21"/>
        </w:rPr>
        <w:t>4）投标人在投标文件中未提供真实有效的证明材料。</w:t>
      </w:r>
    </w:p>
    <w:p>
      <w:pPr>
        <w:pStyle w:val="2"/>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5）中标人以他人名义投标或者以其他方式弄虚作假，骗取中标的。</w:t>
      </w:r>
    </w:p>
    <w:p>
      <w:pPr>
        <w:numPr>
          <w:ilvl w:val="0"/>
          <w:numId w:val="17"/>
        </w:numPr>
        <w:tabs>
          <w:tab w:val="left" w:pos="851"/>
        </w:tabs>
        <w:snapToGrid w:val="0"/>
        <w:spacing w:line="460" w:lineRule="exact"/>
        <w:jc w:val="both"/>
        <w:rPr>
          <w:b/>
          <w:sz w:val="24"/>
        </w:rPr>
      </w:pPr>
      <w:r>
        <w:rPr>
          <w:b/>
          <w:sz w:val="24"/>
        </w:rPr>
        <w:t>投标有效期</w:t>
      </w:r>
    </w:p>
    <w:p>
      <w:pPr>
        <w:numPr>
          <w:ilvl w:val="1"/>
          <w:numId w:val="17"/>
        </w:numPr>
        <w:tabs>
          <w:tab w:val="left" w:pos="644"/>
          <w:tab w:val="left" w:pos="851"/>
        </w:tabs>
        <w:snapToGrid w:val="0"/>
        <w:spacing w:line="460" w:lineRule="exact"/>
        <w:ind w:left="851" w:hanging="851"/>
        <w:jc w:val="both"/>
      </w:pPr>
      <w:r>
        <w:t>投标文件应在投标截止日后的90天内保持有效。中标人投标有效期则顺延至项目完成验收之日，在此有效期内未经招标人同意，投标文件的一切内容和补充承诺均为持续有效且不予改变。</w:t>
      </w:r>
    </w:p>
    <w:p>
      <w:pPr>
        <w:numPr>
          <w:ilvl w:val="1"/>
          <w:numId w:val="17"/>
        </w:numPr>
        <w:tabs>
          <w:tab w:val="left" w:pos="644"/>
          <w:tab w:val="left" w:pos="851"/>
        </w:tabs>
        <w:snapToGrid w:val="0"/>
        <w:spacing w:line="460" w:lineRule="exact"/>
        <w:ind w:left="851" w:hanging="851"/>
        <w:jc w:val="both"/>
      </w:pPr>
      <w:r>
        <w:t>投标有效期比规定期限短的将被视为非响应标而予以拒绝。</w:t>
      </w:r>
    </w:p>
    <w:p>
      <w:pPr>
        <w:numPr>
          <w:ilvl w:val="0"/>
          <w:numId w:val="17"/>
        </w:numPr>
        <w:tabs>
          <w:tab w:val="left" w:pos="851"/>
        </w:tabs>
        <w:snapToGrid w:val="0"/>
        <w:spacing w:line="460" w:lineRule="exact"/>
        <w:jc w:val="both"/>
        <w:rPr>
          <w:b/>
          <w:sz w:val="24"/>
        </w:rPr>
      </w:pPr>
      <w:r>
        <w:rPr>
          <w:b/>
          <w:sz w:val="24"/>
        </w:rPr>
        <w:t>投标文件的式样和签署</w:t>
      </w:r>
    </w:p>
    <w:p>
      <w:pPr>
        <w:numPr>
          <w:ilvl w:val="1"/>
          <w:numId w:val="17"/>
        </w:numPr>
        <w:tabs>
          <w:tab w:val="left" w:pos="644"/>
          <w:tab w:val="left" w:pos="851"/>
        </w:tabs>
        <w:snapToGrid w:val="0"/>
        <w:spacing w:line="460" w:lineRule="exact"/>
        <w:ind w:left="851" w:hanging="851"/>
        <w:jc w:val="both"/>
      </w:pPr>
      <w:r>
        <w:t>投标人应准备投标文件</w:t>
      </w:r>
      <w:r>
        <w:rPr>
          <w:b/>
          <w:bCs/>
        </w:rPr>
        <w:t>正本一份，副本四份和与标书内容相同的电子标书一份（</w:t>
      </w:r>
      <w:r>
        <w:rPr>
          <w:rFonts w:hint="eastAsia"/>
          <w:b/>
          <w:bCs/>
        </w:rPr>
        <w:t>U</w:t>
      </w:r>
      <w:r>
        <w:rPr>
          <w:b/>
          <w:bCs/>
        </w:rPr>
        <w:t>盘/光盘，封面注明公司名称和招标编号）</w:t>
      </w:r>
      <w:r>
        <w:t>，在每一份投标文件上要明确注明“正本”或“副本”字样；一旦正本和副本内容有差异，以正本为准。</w:t>
      </w:r>
    </w:p>
    <w:p>
      <w:pPr>
        <w:numPr>
          <w:ilvl w:val="1"/>
          <w:numId w:val="17"/>
        </w:numPr>
        <w:tabs>
          <w:tab w:val="left" w:pos="644"/>
          <w:tab w:val="left" w:pos="851"/>
        </w:tabs>
        <w:snapToGrid w:val="0"/>
        <w:spacing w:line="460" w:lineRule="exact"/>
        <w:ind w:left="851" w:hanging="851"/>
        <w:jc w:val="both"/>
      </w:pPr>
      <w:r>
        <w:t>投标文件正本均须用不褪色墨水书写或打印，由法定代表人或经过正式授权并对投标人有约束力的代表在</w:t>
      </w:r>
      <w:r>
        <w:rPr>
          <w:b/>
        </w:rPr>
        <w:t>正本上要求的地方签字，并加盖骑缝章</w:t>
      </w:r>
      <w:r>
        <w:t>。</w:t>
      </w:r>
    </w:p>
    <w:p>
      <w:pPr>
        <w:numPr>
          <w:ilvl w:val="1"/>
          <w:numId w:val="17"/>
        </w:numPr>
        <w:tabs>
          <w:tab w:val="left" w:pos="644"/>
          <w:tab w:val="left" w:pos="851"/>
        </w:tabs>
        <w:snapToGrid w:val="0"/>
        <w:spacing w:line="460" w:lineRule="exact"/>
        <w:ind w:left="851" w:hanging="851"/>
        <w:jc w:val="both"/>
      </w:pPr>
      <w:r>
        <w:t>投标文件副本，所有资料都可以为投标文件的正本复印件。</w:t>
      </w:r>
    </w:p>
    <w:p>
      <w:pPr>
        <w:numPr>
          <w:ilvl w:val="1"/>
          <w:numId w:val="17"/>
        </w:numPr>
        <w:tabs>
          <w:tab w:val="left" w:pos="644"/>
          <w:tab w:val="left" w:pos="851"/>
        </w:tabs>
        <w:snapToGrid w:val="0"/>
        <w:spacing w:line="460" w:lineRule="exact"/>
        <w:ind w:left="851" w:hanging="851"/>
        <w:jc w:val="both"/>
      </w:pPr>
      <w:r>
        <w:t>投标文件的正本及所有副本的封面均须由投标人加盖投标人公章。</w:t>
      </w:r>
    </w:p>
    <w:p>
      <w:pPr>
        <w:numPr>
          <w:ilvl w:val="1"/>
          <w:numId w:val="17"/>
        </w:numPr>
        <w:tabs>
          <w:tab w:val="left" w:pos="644"/>
          <w:tab w:val="left" w:pos="851"/>
        </w:tabs>
        <w:snapToGrid w:val="0"/>
        <w:spacing w:line="460" w:lineRule="exact"/>
        <w:ind w:left="851" w:hanging="851"/>
        <w:jc w:val="both"/>
      </w:pPr>
      <w:r>
        <w:t>投标文件的任何行间插字、涂改和增删，必须由投标文件的签字人用姓氏或首字母在旁边签字才有效。</w:t>
      </w:r>
    </w:p>
    <w:p>
      <w:pPr>
        <w:numPr>
          <w:ilvl w:val="1"/>
          <w:numId w:val="17"/>
        </w:numPr>
        <w:tabs>
          <w:tab w:val="left" w:pos="644"/>
          <w:tab w:val="left" w:pos="851"/>
        </w:tabs>
        <w:snapToGrid w:val="0"/>
        <w:spacing w:line="460" w:lineRule="exact"/>
        <w:ind w:left="851" w:hanging="851"/>
        <w:jc w:val="both"/>
      </w:pPr>
      <w:r>
        <w:t>在招标文件中已明示需盖章及签名之处，投标文件正本均须加盖投标人公章，并经投标人法定代表人或其授权代表签名或盖章。</w:t>
      </w:r>
    </w:p>
    <w:p>
      <w:pPr>
        <w:numPr>
          <w:ilvl w:val="1"/>
          <w:numId w:val="17"/>
        </w:numPr>
        <w:tabs>
          <w:tab w:val="left" w:pos="644"/>
          <w:tab w:val="left" w:pos="851"/>
        </w:tabs>
        <w:snapToGrid w:val="0"/>
        <w:spacing w:line="460" w:lineRule="exact"/>
        <w:ind w:left="851" w:hanging="851"/>
        <w:jc w:val="both"/>
        <w:rPr>
          <w:sz w:val="24"/>
        </w:rPr>
      </w:pPr>
      <w:r>
        <w:t>传真和电传的投标文件将被拒绝。</w:t>
      </w:r>
    </w:p>
    <w:p>
      <w:pPr>
        <w:numPr>
          <w:ilvl w:val="0"/>
          <w:numId w:val="17"/>
        </w:numPr>
        <w:tabs>
          <w:tab w:val="left" w:pos="851"/>
        </w:tabs>
        <w:snapToGrid w:val="0"/>
        <w:spacing w:line="460" w:lineRule="exact"/>
        <w:jc w:val="both"/>
        <w:rPr>
          <w:b/>
          <w:sz w:val="24"/>
        </w:rPr>
      </w:pPr>
      <w:r>
        <w:rPr>
          <w:b/>
          <w:sz w:val="24"/>
        </w:rPr>
        <w:t>投标文件的密封和标记</w:t>
      </w:r>
    </w:p>
    <w:p>
      <w:pPr>
        <w:numPr>
          <w:ilvl w:val="1"/>
          <w:numId w:val="17"/>
        </w:numPr>
        <w:tabs>
          <w:tab w:val="left" w:pos="644"/>
          <w:tab w:val="left" w:pos="851"/>
        </w:tabs>
        <w:snapToGrid w:val="0"/>
        <w:spacing w:line="460" w:lineRule="exact"/>
        <w:ind w:left="851" w:hanging="851"/>
        <w:jc w:val="both"/>
        <w:rPr>
          <w:b/>
          <w:bCs/>
        </w:rPr>
      </w:pPr>
      <w:r>
        <w:rPr>
          <w:b/>
          <w:bCs/>
        </w:rPr>
        <w:t>正本和电子标书一起封装，副本四份一起封装，在每一封口处加盖公章，封套上标明“正本”“副本”字样。</w:t>
      </w:r>
    </w:p>
    <w:p>
      <w:pPr>
        <w:numPr>
          <w:ilvl w:val="1"/>
          <w:numId w:val="17"/>
        </w:numPr>
        <w:tabs>
          <w:tab w:val="left" w:pos="644"/>
          <w:tab w:val="left" w:pos="851"/>
        </w:tabs>
        <w:snapToGrid w:val="0"/>
        <w:spacing w:line="460" w:lineRule="exact"/>
        <w:ind w:left="851" w:hanging="851"/>
        <w:jc w:val="both"/>
      </w:pPr>
      <w:r>
        <w:t>封套均应按以下要求标记：</w:t>
      </w:r>
    </w:p>
    <w:p>
      <w:pPr>
        <w:snapToGrid w:val="0"/>
        <w:spacing w:line="460" w:lineRule="exact"/>
        <w:ind w:firstLine="843" w:firstLineChars="400"/>
        <w:jc w:val="both"/>
        <w:rPr>
          <w:b/>
          <w:bCs/>
        </w:rPr>
      </w:pPr>
      <w:r>
        <w:rPr>
          <w:b/>
          <w:bCs/>
        </w:rPr>
        <w:t>递交：</w:t>
      </w:r>
      <w:r>
        <w:rPr>
          <w:rFonts w:hint="eastAsia"/>
          <w:b/>
          <w:bCs/>
          <w:lang w:eastAsia="zh-CN"/>
        </w:rPr>
        <w:t>广东钧信建设管理有限公司中山分公司</w:t>
      </w:r>
      <w:r>
        <w:rPr>
          <w:b/>
          <w:bCs/>
        </w:rPr>
        <w:t xml:space="preserve">   </w:t>
      </w:r>
    </w:p>
    <w:p>
      <w:pPr>
        <w:snapToGrid w:val="0"/>
        <w:spacing w:line="460" w:lineRule="exact"/>
        <w:ind w:firstLine="843" w:firstLineChars="400"/>
        <w:jc w:val="both"/>
        <w:rPr>
          <w:b/>
          <w:bCs/>
          <w:u w:val="single"/>
        </w:rPr>
      </w:pPr>
      <w:r>
        <w:rPr>
          <w:b/>
          <w:bCs/>
        </w:rPr>
        <w:t>项目名称：</w:t>
      </w:r>
      <w:r>
        <w:rPr>
          <w:b/>
          <w:bCs/>
          <w:u w:val="single"/>
        </w:rPr>
        <w:t xml:space="preserve">        </w:t>
      </w:r>
      <w:r>
        <w:rPr>
          <w:b/>
          <w:bCs/>
        </w:rPr>
        <w:t>招标编号：</w:t>
      </w:r>
      <w:r>
        <w:rPr>
          <w:b/>
          <w:bCs/>
          <w:u w:val="single"/>
        </w:rPr>
        <w:t xml:space="preserve">       </w:t>
      </w:r>
      <w:r>
        <w:rPr>
          <w:b/>
          <w:bCs/>
        </w:rPr>
        <w:t>在</w:t>
      </w:r>
      <w:r>
        <w:rPr>
          <w:b/>
          <w:bCs/>
          <w:u w:val="single"/>
        </w:rPr>
        <w:t xml:space="preserve">（投标截止时间） </w:t>
      </w:r>
      <w:r>
        <w:rPr>
          <w:b/>
          <w:bCs/>
        </w:rPr>
        <w:t>前不得启封”的字样。</w:t>
      </w:r>
    </w:p>
    <w:p>
      <w:pPr>
        <w:numPr>
          <w:ilvl w:val="1"/>
          <w:numId w:val="17"/>
        </w:numPr>
        <w:tabs>
          <w:tab w:val="left" w:pos="644"/>
          <w:tab w:val="left" w:pos="851"/>
        </w:tabs>
        <w:snapToGrid w:val="0"/>
        <w:spacing w:line="460" w:lineRule="exact"/>
        <w:ind w:left="851" w:hanging="851"/>
        <w:jc w:val="both"/>
      </w:pPr>
      <w:r>
        <w:t>封套均应写明投标人名称和地址，以便如果其投标被宣布为“迟到”投标时，能原封退回。</w:t>
      </w:r>
    </w:p>
    <w:p>
      <w:pPr>
        <w:numPr>
          <w:ilvl w:val="1"/>
          <w:numId w:val="17"/>
        </w:numPr>
        <w:tabs>
          <w:tab w:val="left" w:pos="644"/>
          <w:tab w:val="left" w:pos="851"/>
        </w:tabs>
        <w:snapToGrid w:val="0"/>
        <w:spacing w:line="460" w:lineRule="exact"/>
        <w:ind w:left="851" w:hanging="851"/>
        <w:jc w:val="both"/>
      </w:pPr>
      <w:r>
        <w:t>如果封套未按本须知的要求密封和加写标记，招标代理机构有权拒绝受理其投标文件。</w:t>
      </w:r>
    </w:p>
    <w:p>
      <w:pPr>
        <w:numPr>
          <w:ilvl w:val="1"/>
          <w:numId w:val="17"/>
        </w:numPr>
        <w:tabs>
          <w:tab w:val="left" w:pos="644"/>
          <w:tab w:val="left" w:pos="851"/>
        </w:tabs>
        <w:snapToGrid w:val="0"/>
        <w:spacing w:line="460" w:lineRule="exact"/>
        <w:ind w:left="851" w:hanging="851"/>
        <w:jc w:val="both"/>
      </w:pPr>
      <w:r>
        <w:t>为方便开标唱标，投标人提交投标文件时应备有一个“唱标信封”，并将下列内容单独密封入该信封。</w:t>
      </w:r>
    </w:p>
    <w:p>
      <w:pPr>
        <w:tabs>
          <w:tab w:val="left" w:pos="851"/>
        </w:tabs>
        <w:snapToGrid w:val="0"/>
        <w:spacing w:line="460" w:lineRule="exact"/>
        <w:ind w:firstLine="840" w:firstLineChars="400"/>
        <w:jc w:val="both"/>
      </w:pPr>
      <w:r>
        <w:t>1、投标函（从投标文件正本中复印）；</w:t>
      </w:r>
    </w:p>
    <w:p>
      <w:pPr>
        <w:tabs>
          <w:tab w:val="left" w:pos="851"/>
        </w:tabs>
        <w:snapToGrid w:val="0"/>
        <w:spacing w:line="460" w:lineRule="exact"/>
        <w:ind w:firstLine="840" w:firstLineChars="400"/>
        <w:jc w:val="both"/>
      </w:pPr>
      <w:r>
        <w:t>2、开标一览表（从投标文件正本中复印）；</w:t>
      </w:r>
    </w:p>
    <w:p>
      <w:pPr>
        <w:tabs>
          <w:tab w:val="left" w:pos="851"/>
        </w:tabs>
        <w:snapToGrid w:val="0"/>
        <w:spacing w:line="460" w:lineRule="exact"/>
        <w:ind w:firstLine="840" w:firstLineChars="400"/>
        <w:jc w:val="both"/>
        <w:rPr>
          <w:rFonts w:hint="eastAsia" w:eastAsia="宋体"/>
          <w:szCs w:val="22"/>
          <w:lang w:eastAsia="zh-CN"/>
        </w:rPr>
      </w:pPr>
      <w:r>
        <w:t>3、</w:t>
      </w:r>
      <w:r>
        <w:rPr>
          <w:rFonts w:hint="eastAsia"/>
          <w:szCs w:val="22"/>
        </w:rPr>
        <w:t>法定代表人证明书</w:t>
      </w:r>
      <w:r>
        <w:rPr>
          <w:szCs w:val="22"/>
        </w:rPr>
        <w:t>/</w:t>
      </w:r>
      <w:r>
        <w:rPr>
          <w:rFonts w:hint="eastAsia"/>
          <w:szCs w:val="22"/>
        </w:rPr>
        <w:t>法定代表人授权书</w:t>
      </w:r>
      <w:r>
        <w:rPr>
          <w:rFonts w:hint="eastAsia"/>
          <w:szCs w:val="22"/>
          <w:lang w:eastAsia="zh-CN"/>
        </w:rPr>
        <w:t>（</w:t>
      </w:r>
      <w:r>
        <w:t>（从投标文件正本中复印）</w:t>
      </w:r>
      <w:r>
        <w:rPr>
          <w:rFonts w:hint="eastAsia"/>
          <w:szCs w:val="22"/>
          <w:lang w:eastAsia="zh-CN"/>
        </w:rPr>
        <w:t>）</w:t>
      </w:r>
    </w:p>
    <w:p>
      <w:pPr>
        <w:tabs>
          <w:tab w:val="left" w:pos="851"/>
        </w:tabs>
        <w:snapToGrid w:val="0"/>
        <w:spacing w:line="460" w:lineRule="exact"/>
        <w:ind w:firstLine="840" w:firstLineChars="400"/>
        <w:jc w:val="both"/>
      </w:pPr>
      <w:r>
        <w:rPr>
          <w:rFonts w:hint="eastAsia"/>
          <w:lang w:val="en-US" w:eastAsia="zh-CN"/>
        </w:rPr>
        <w:t>4、</w:t>
      </w:r>
      <w:r>
        <w:t>投标保证金交付凭证复印件；</w:t>
      </w:r>
    </w:p>
    <w:p>
      <w:pPr>
        <w:numPr>
          <w:ilvl w:val="1"/>
          <w:numId w:val="17"/>
        </w:numPr>
        <w:tabs>
          <w:tab w:val="left" w:pos="644"/>
          <w:tab w:val="left" w:pos="851"/>
        </w:tabs>
        <w:spacing w:line="460" w:lineRule="exact"/>
        <w:ind w:left="851" w:hanging="851"/>
      </w:pPr>
      <w:r>
        <w:t>本次招标的投标截止时间见第一部分《投标邀请函》的规定；</w:t>
      </w:r>
    </w:p>
    <w:p>
      <w:pPr>
        <w:numPr>
          <w:ilvl w:val="1"/>
          <w:numId w:val="17"/>
        </w:numPr>
        <w:tabs>
          <w:tab w:val="left" w:pos="644"/>
          <w:tab w:val="left" w:pos="851"/>
        </w:tabs>
        <w:spacing w:line="460" w:lineRule="exact"/>
        <w:ind w:left="851" w:hanging="851"/>
        <w:jc w:val="both"/>
      </w:pPr>
      <w:r>
        <w:t>本次招标的投标文件递交时间见第一部分《投标邀请函》的规定，招标代理机构收到投标文件的时间不得迟于规定的截止时间。</w:t>
      </w:r>
    </w:p>
    <w:p>
      <w:pPr>
        <w:numPr>
          <w:ilvl w:val="1"/>
          <w:numId w:val="17"/>
        </w:numPr>
        <w:tabs>
          <w:tab w:val="left" w:pos="644"/>
          <w:tab w:val="left" w:pos="851"/>
        </w:tabs>
        <w:spacing w:line="460" w:lineRule="exact"/>
        <w:ind w:left="851" w:hanging="851"/>
        <w:jc w:val="both"/>
      </w:pPr>
      <w:r>
        <w:t>招标代理机构可视具体情况延长投标截止时间和开标时间。在推迟了投标截止时间的情况下，招标代理机构、招标人和投标人受投标截止时间制约的所有权利和义务均应延长至新的截止时间。</w:t>
      </w:r>
    </w:p>
    <w:p>
      <w:pPr>
        <w:numPr>
          <w:ilvl w:val="1"/>
          <w:numId w:val="17"/>
        </w:numPr>
        <w:tabs>
          <w:tab w:val="left" w:pos="644"/>
          <w:tab w:val="left" w:pos="851"/>
        </w:tabs>
        <w:spacing w:line="460" w:lineRule="exact"/>
        <w:ind w:left="851" w:hanging="851"/>
        <w:jc w:val="both"/>
        <w:rPr>
          <w:sz w:val="24"/>
        </w:rPr>
      </w:pPr>
      <w:r>
        <w:t>招标代理机构将拒绝并原封退回在其规定的投标截止时刻后收到的任何投标文件。</w:t>
      </w:r>
    </w:p>
    <w:p>
      <w:pPr>
        <w:numPr>
          <w:ilvl w:val="0"/>
          <w:numId w:val="17"/>
        </w:numPr>
        <w:tabs>
          <w:tab w:val="left" w:pos="851"/>
        </w:tabs>
        <w:snapToGrid w:val="0"/>
        <w:spacing w:line="460" w:lineRule="exact"/>
        <w:jc w:val="both"/>
        <w:rPr>
          <w:b/>
          <w:sz w:val="24"/>
        </w:rPr>
      </w:pPr>
      <w:r>
        <w:rPr>
          <w:b/>
          <w:sz w:val="24"/>
        </w:rPr>
        <w:t>投标文件的修改与撤回</w:t>
      </w:r>
    </w:p>
    <w:p>
      <w:pPr>
        <w:numPr>
          <w:ilvl w:val="1"/>
          <w:numId w:val="17"/>
        </w:numPr>
        <w:tabs>
          <w:tab w:val="left" w:pos="644"/>
          <w:tab w:val="left" w:pos="851"/>
        </w:tabs>
        <w:spacing w:line="460" w:lineRule="exact"/>
        <w:ind w:left="851" w:hanging="851"/>
        <w:jc w:val="both"/>
      </w:pPr>
      <w:r>
        <w:t xml:space="preserve">  投标人在投标截止时间之前，可以对所递交的投标文件进行补充、修改或者撤回，并书面通知招标代理机构。补充、修改的内容应当按招标文件要求签署、盖公章，并作为投标文件的组成部分。</w:t>
      </w:r>
    </w:p>
    <w:p>
      <w:pPr>
        <w:numPr>
          <w:ilvl w:val="1"/>
          <w:numId w:val="17"/>
        </w:numPr>
        <w:tabs>
          <w:tab w:val="left" w:pos="644"/>
          <w:tab w:val="left" w:pos="851"/>
        </w:tabs>
        <w:spacing w:line="460" w:lineRule="exact"/>
        <w:ind w:left="851" w:hanging="851"/>
        <w:jc w:val="both"/>
      </w:pPr>
      <w:r>
        <w:t xml:space="preserve"> 在投标截止时间之后，投标人不得对其投标文件做任何补充、修改。</w:t>
      </w:r>
    </w:p>
    <w:p>
      <w:pPr>
        <w:numPr>
          <w:ilvl w:val="1"/>
          <w:numId w:val="17"/>
        </w:numPr>
        <w:tabs>
          <w:tab w:val="left" w:pos="644"/>
          <w:tab w:val="left" w:pos="851"/>
        </w:tabs>
        <w:spacing w:line="460" w:lineRule="exact"/>
        <w:ind w:left="851" w:hanging="851"/>
        <w:jc w:val="both"/>
        <w:rPr>
          <w:b/>
          <w:sz w:val="24"/>
        </w:rPr>
      </w:pPr>
      <w:r>
        <w:t xml:space="preserve"> 从投标截止时间至投标人在投标文件中确定的投标有效期期满这段时间内，投标人不得撤回其投标，否则其投标保证金将按照本须知的规定被没收。</w:t>
      </w:r>
    </w:p>
    <w:p>
      <w:pPr>
        <w:numPr>
          <w:ilvl w:val="0"/>
          <w:numId w:val="17"/>
        </w:numPr>
        <w:tabs>
          <w:tab w:val="left" w:pos="851"/>
        </w:tabs>
        <w:spacing w:line="460" w:lineRule="exact"/>
        <w:rPr>
          <w:b/>
          <w:sz w:val="24"/>
        </w:rPr>
      </w:pPr>
      <w:r>
        <w:rPr>
          <w:b/>
          <w:sz w:val="24"/>
        </w:rPr>
        <w:t>投标人资格审查方式</w:t>
      </w:r>
    </w:p>
    <w:p>
      <w:pPr>
        <w:numPr>
          <w:ilvl w:val="1"/>
          <w:numId w:val="17"/>
        </w:numPr>
        <w:tabs>
          <w:tab w:val="left" w:pos="644"/>
          <w:tab w:val="left" w:pos="851"/>
        </w:tabs>
        <w:spacing w:line="460" w:lineRule="exact"/>
        <w:ind w:left="851" w:hanging="851"/>
        <w:jc w:val="both"/>
        <w:rPr>
          <w:b/>
          <w:sz w:val="24"/>
        </w:rPr>
      </w:pPr>
      <w:r>
        <w:t>投标人资格审查方式：资格后审。评标委员会保留复核在评审过程中或者审查成交候选单位是否有能力令人满意地履行合同的权利，如果符合或审查通过，评标委员会将把合同授予该投标人；如果复核或审查没有通过，评标委员会将拒绝其报价，并对下一个候选的投标人能否令人满意地履行合同作类似的复核、审查或重新招标</w:t>
      </w:r>
      <w:r>
        <w:rPr>
          <w:szCs w:val="21"/>
        </w:rPr>
        <w:t>。</w:t>
      </w:r>
    </w:p>
    <w:p>
      <w:pPr>
        <w:numPr>
          <w:ilvl w:val="0"/>
          <w:numId w:val="17"/>
        </w:numPr>
        <w:tabs>
          <w:tab w:val="left" w:pos="851"/>
        </w:tabs>
        <w:spacing w:line="460" w:lineRule="exact"/>
        <w:rPr>
          <w:b/>
          <w:sz w:val="24"/>
        </w:rPr>
      </w:pPr>
      <w:r>
        <w:rPr>
          <w:b/>
          <w:sz w:val="24"/>
        </w:rPr>
        <w:t>开标</w:t>
      </w:r>
    </w:p>
    <w:p>
      <w:pPr>
        <w:numPr>
          <w:ilvl w:val="1"/>
          <w:numId w:val="17"/>
        </w:numPr>
        <w:tabs>
          <w:tab w:val="left" w:pos="644"/>
          <w:tab w:val="left" w:pos="851"/>
        </w:tabs>
        <w:spacing w:line="460" w:lineRule="exact"/>
        <w:ind w:left="851" w:hanging="851"/>
        <w:jc w:val="both"/>
      </w:pPr>
      <w:r>
        <w:t>招标代理机构按《投标邀请函》规定的时间和地点公开开标。</w:t>
      </w:r>
    </w:p>
    <w:p>
      <w:pPr>
        <w:numPr>
          <w:ilvl w:val="1"/>
          <w:numId w:val="17"/>
        </w:numPr>
        <w:tabs>
          <w:tab w:val="left" w:pos="644"/>
          <w:tab w:val="left" w:pos="851"/>
        </w:tabs>
        <w:spacing w:line="460" w:lineRule="exact"/>
        <w:ind w:left="851" w:hanging="851"/>
        <w:jc w:val="both"/>
      </w:pPr>
      <w:r>
        <w:t>招标代理机构组织和主持开标会，投标人法定代表人或其授权代表务必准时参加开标会并签名报到以证明其出席。</w:t>
      </w:r>
    </w:p>
    <w:p>
      <w:pPr>
        <w:numPr>
          <w:ilvl w:val="1"/>
          <w:numId w:val="17"/>
        </w:numPr>
        <w:tabs>
          <w:tab w:val="left" w:pos="644"/>
          <w:tab w:val="left" w:pos="851"/>
        </w:tabs>
        <w:spacing w:line="460" w:lineRule="exact"/>
        <w:ind w:left="851" w:hanging="851"/>
        <w:jc w:val="both"/>
      </w:pPr>
      <w:r>
        <w:t>开标前先检查投标文件的密封情况，确认无误后拆封投标文件报价内容并按招标文件规定的内容进行唱标。</w:t>
      </w:r>
    </w:p>
    <w:p>
      <w:pPr>
        <w:numPr>
          <w:ilvl w:val="1"/>
          <w:numId w:val="17"/>
        </w:numPr>
        <w:tabs>
          <w:tab w:val="left" w:pos="644"/>
          <w:tab w:val="left" w:pos="851"/>
        </w:tabs>
        <w:spacing w:line="460" w:lineRule="exact"/>
        <w:ind w:left="851" w:hanging="851"/>
        <w:jc w:val="both"/>
      </w:pPr>
      <w:r>
        <w:t>开标时，招标代理机构将当众宣读投标人名称、修改和撤回投标的通知（如有）、投标价格以及招标代理机构认为其他必要的内容。除了按照规定原封退回迟到的投标之外，开标时将不得拒绝在投标截止时间前收到的投标文件。</w:t>
      </w:r>
    </w:p>
    <w:p>
      <w:pPr>
        <w:numPr>
          <w:ilvl w:val="1"/>
          <w:numId w:val="17"/>
        </w:numPr>
        <w:tabs>
          <w:tab w:val="left" w:pos="644"/>
          <w:tab w:val="left" w:pos="851"/>
        </w:tabs>
        <w:spacing w:line="460" w:lineRule="exact"/>
        <w:ind w:left="851" w:hanging="851"/>
        <w:jc w:val="both"/>
      </w:pPr>
      <w:r>
        <w:t>招标</w:t>
      </w:r>
      <w:r>
        <w:rPr>
          <w:rFonts w:hint="eastAsia"/>
        </w:rPr>
        <w:t>代</w:t>
      </w:r>
      <w:r>
        <w:t>理机构将记录开标过程的有关内容，并由投标人签字确认，存档备查。</w:t>
      </w:r>
    </w:p>
    <w:p>
      <w:pPr>
        <w:numPr>
          <w:ilvl w:val="0"/>
          <w:numId w:val="17"/>
        </w:numPr>
        <w:tabs>
          <w:tab w:val="left" w:pos="851"/>
        </w:tabs>
        <w:spacing w:line="460" w:lineRule="exact"/>
        <w:rPr>
          <w:b/>
          <w:sz w:val="24"/>
        </w:rPr>
      </w:pPr>
      <w:r>
        <w:rPr>
          <w:b/>
          <w:sz w:val="24"/>
        </w:rPr>
        <w:t>评标委员会</w:t>
      </w:r>
    </w:p>
    <w:p>
      <w:pPr>
        <w:numPr>
          <w:ilvl w:val="1"/>
          <w:numId w:val="17"/>
        </w:numPr>
        <w:tabs>
          <w:tab w:val="left" w:pos="644"/>
          <w:tab w:val="left" w:pos="851"/>
        </w:tabs>
        <w:spacing w:line="460" w:lineRule="exact"/>
        <w:ind w:left="851" w:hanging="851"/>
      </w:pPr>
      <w:r>
        <w:t>本次招标依法组建评标委员会。</w:t>
      </w:r>
    </w:p>
    <w:p>
      <w:pPr>
        <w:numPr>
          <w:ilvl w:val="1"/>
          <w:numId w:val="17"/>
        </w:numPr>
        <w:tabs>
          <w:tab w:val="left" w:pos="644"/>
          <w:tab w:val="left" w:pos="851"/>
        </w:tabs>
        <w:spacing w:line="460" w:lineRule="exact"/>
        <w:ind w:left="851" w:hanging="851"/>
      </w:pPr>
      <w:r>
        <w:t>评标委员会依据相关法规和招标文件的规定对投标文件进行评审，并提交评标报告。</w:t>
      </w:r>
    </w:p>
    <w:p>
      <w:pPr>
        <w:numPr>
          <w:ilvl w:val="0"/>
          <w:numId w:val="17"/>
        </w:numPr>
        <w:tabs>
          <w:tab w:val="left" w:pos="851"/>
        </w:tabs>
        <w:spacing w:line="460" w:lineRule="exact"/>
        <w:rPr>
          <w:b/>
          <w:sz w:val="24"/>
        </w:rPr>
      </w:pPr>
      <w:r>
        <w:rPr>
          <w:b/>
          <w:sz w:val="24"/>
        </w:rPr>
        <w:t>评标原则和步骤及评标方法</w:t>
      </w:r>
    </w:p>
    <w:p>
      <w:pPr>
        <w:numPr>
          <w:ilvl w:val="1"/>
          <w:numId w:val="17"/>
        </w:numPr>
        <w:tabs>
          <w:tab w:val="left" w:pos="0"/>
          <w:tab w:val="left" w:pos="644"/>
          <w:tab w:val="left" w:pos="851"/>
        </w:tabs>
        <w:spacing w:line="460" w:lineRule="exact"/>
        <w:ind w:left="851" w:hanging="851"/>
        <w:jc w:val="both"/>
      </w:pPr>
      <w:r>
        <w:t>评标基本原则：评标工作应依据《</w:t>
      </w:r>
      <w:r>
        <w:rPr>
          <w:rFonts w:hint="eastAsia" w:ascii="宋体" w:hAnsi="宋体"/>
          <w:highlight w:val="none"/>
        </w:rPr>
        <w:t>中华人民共和国招标投标法</w:t>
      </w:r>
      <w:r>
        <w:t>》以及</w:t>
      </w:r>
      <w:r>
        <w:rPr>
          <w:rFonts w:hint="eastAsia" w:ascii="宋体" w:hAnsi="宋体"/>
          <w:highlight w:val="none"/>
        </w:rPr>
        <w:t>《中华人民共和国招标投标法实施条例》</w:t>
      </w:r>
      <w:r>
        <w:t>，遵循“公开、公平、公正、择优、信用”的原则进行。</w:t>
      </w:r>
    </w:p>
    <w:p>
      <w:pPr>
        <w:numPr>
          <w:ilvl w:val="1"/>
          <w:numId w:val="17"/>
        </w:numPr>
        <w:tabs>
          <w:tab w:val="left" w:pos="0"/>
          <w:tab w:val="left" w:pos="644"/>
          <w:tab w:val="left" w:pos="851"/>
        </w:tabs>
        <w:spacing w:line="460" w:lineRule="exact"/>
        <w:ind w:left="851" w:hanging="851"/>
      </w:pPr>
      <w:r>
        <w:t>评标步骤及定标规定：第一阶段：先进行投标人符合性审查。第二阶段：对通过符合性审查的投标人按照评标办法进行详细评审。</w:t>
      </w:r>
    </w:p>
    <w:p>
      <w:pPr>
        <w:numPr>
          <w:ilvl w:val="1"/>
          <w:numId w:val="17"/>
        </w:numPr>
        <w:tabs>
          <w:tab w:val="left" w:pos="644"/>
          <w:tab w:val="left" w:pos="851"/>
        </w:tabs>
        <w:spacing w:line="460" w:lineRule="exact"/>
        <w:ind w:left="851" w:hanging="851"/>
      </w:pPr>
      <w:r>
        <w:rPr>
          <w:b/>
        </w:rPr>
        <w:t>评标办法：本次招标的评标方式为综合评分法，符合性审查阶段采取评委一人一票，意见不一致时少数服从多数的的评标方式，详细评审采用百分制综合评分法，分数按四舍五入原则计至小数点后两位</w:t>
      </w:r>
      <w:r>
        <w:rPr>
          <w:b/>
          <w:bCs/>
        </w:rPr>
        <w:t>。</w:t>
      </w:r>
    </w:p>
    <w:p>
      <w:pPr>
        <w:numPr>
          <w:ilvl w:val="0"/>
          <w:numId w:val="17"/>
        </w:numPr>
        <w:tabs>
          <w:tab w:val="left" w:pos="851"/>
        </w:tabs>
        <w:spacing w:line="460" w:lineRule="exact"/>
        <w:jc w:val="both"/>
        <w:rPr>
          <w:b/>
          <w:sz w:val="24"/>
        </w:rPr>
      </w:pPr>
      <w:r>
        <w:rPr>
          <w:b/>
          <w:sz w:val="24"/>
        </w:rPr>
        <w:t>第一阶段：初步评审</w:t>
      </w:r>
    </w:p>
    <w:p>
      <w:pPr>
        <w:numPr>
          <w:ilvl w:val="1"/>
          <w:numId w:val="17"/>
        </w:numPr>
        <w:tabs>
          <w:tab w:val="left" w:pos="0"/>
          <w:tab w:val="left" w:pos="644"/>
          <w:tab w:val="left" w:pos="851"/>
        </w:tabs>
        <w:spacing w:line="460" w:lineRule="exact"/>
        <w:ind w:left="851" w:hanging="851"/>
        <w:jc w:val="both"/>
      </w:pPr>
      <w:r>
        <w:t>评标委员会根据招标文件对投标文件进行初步审查，检查投标文件提交的内容是否齐全、签署是否合格、是否满足招标文件的要求、是否能证明有能力承担本项目的任务、是否按招标文件的要求作出了相应的承诺。</w:t>
      </w:r>
    </w:p>
    <w:p>
      <w:pPr>
        <w:numPr>
          <w:ilvl w:val="1"/>
          <w:numId w:val="17"/>
        </w:numPr>
        <w:tabs>
          <w:tab w:val="left" w:pos="0"/>
          <w:tab w:val="left" w:pos="644"/>
          <w:tab w:val="left" w:pos="851"/>
        </w:tabs>
        <w:spacing w:line="460" w:lineRule="exact"/>
        <w:ind w:left="851" w:hanging="851"/>
        <w:jc w:val="both"/>
      </w:pPr>
      <w:r>
        <w:t>无效投标的认定</w:t>
      </w:r>
    </w:p>
    <w:p>
      <w:pPr>
        <w:tabs>
          <w:tab w:val="left" w:pos="1030"/>
        </w:tabs>
        <w:spacing w:line="460" w:lineRule="exact"/>
        <w:ind w:left="848"/>
      </w:pPr>
      <w:r>
        <w:t>投标文件出现但不限于下列情况被认定为无效投标：</w:t>
      </w:r>
    </w:p>
    <w:p>
      <w:pPr>
        <w:numPr>
          <w:ilvl w:val="0"/>
          <w:numId w:val="21"/>
        </w:numPr>
        <w:tabs>
          <w:tab w:val="left" w:pos="1272"/>
          <w:tab w:val="clear" w:pos="1141"/>
        </w:tabs>
        <w:spacing w:line="460" w:lineRule="exact"/>
        <w:ind w:left="1272" w:hanging="424"/>
      </w:pPr>
      <w:r>
        <w:t>投标人未提交投标保证金或金额不足的；</w:t>
      </w:r>
    </w:p>
    <w:p>
      <w:pPr>
        <w:numPr>
          <w:ilvl w:val="0"/>
          <w:numId w:val="21"/>
        </w:numPr>
        <w:tabs>
          <w:tab w:val="left" w:pos="1272"/>
          <w:tab w:val="clear" w:pos="1141"/>
        </w:tabs>
        <w:spacing w:line="460" w:lineRule="exact"/>
        <w:ind w:left="1272" w:hanging="424"/>
      </w:pPr>
      <w:r>
        <w:t>投标有效期不足的；</w:t>
      </w:r>
    </w:p>
    <w:p>
      <w:pPr>
        <w:numPr>
          <w:ilvl w:val="0"/>
          <w:numId w:val="21"/>
        </w:numPr>
        <w:tabs>
          <w:tab w:val="left" w:pos="1272"/>
          <w:tab w:val="clear" w:pos="1141"/>
        </w:tabs>
        <w:spacing w:line="460" w:lineRule="exact"/>
        <w:ind w:left="1272" w:hanging="424"/>
      </w:pPr>
      <w:r>
        <w:t>投标人不符合合格投标人的基本条件；</w:t>
      </w:r>
    </w:p>
    <w:p>
      <w:pPr>
        <w:numPr>
          <w:ilvl w:val="0"/>
          <w:numId w:val="21"/>
        </w:numPr>
        <w:tabs>
          <w:tab w:val="left" w:pos="1272"/>
          <w:tab w:val="clear" w:pos="1141"/>
        </w:tabs>
        <w:spacing w:line="460" w:lineRule="exact"/>
        <w:ind w:left="1272" w:hanging="424"/>
      </w:pPr>
      <w:r>
        <w:t>投标文件主要资料不齐全或签署不及格的；</w:t>
      </w:r>
    </w:p>
    <w:p>
      <w:pPr>
        <w:numPr>
          <w:ilvl w:val="0"/>
          <w:numId w:val="21"/>
        </w:numPr>
        <w:tabs>
          <w:tab w:val="left" w:pos="1272"/>
          <w:tab w:val="clear" w:pos="1141"/>
        </w:tabs>
        <w:spacing w:line="460" w:lineRule="exact"/>
        <w:ind w:left="1272" w:hanging="424"/>
      </w:pPr>
      <w:r>
        <w:t>投标资料虚报或者谎报的；</w:t>
      </w:r>
    </w:p>
    <w:p>
      <w:pPr>
        <w:numPr>
          <w:ilvl w:val="0"/>
          <w:numId w:val="21"/>
        </w:numPr>
        <w:tabs>
          <w:tab w:val="left" w:pos="1272"/>
          <w:tab w:val="clear" w:pos="1141"/>
        </w:tabs>
        <w:spacing w:line="460" w:lineRule="exact"/>
        <w:ind w:left="1272" w:hanging="424"/>
      </w:pPr>
      <w:r>
        <w:t>投标价不是固定价或投标方案不是唯一的；</w:t>
      </w:r>
    </w:p>
    <w:p>
      <w:pPr>
        <w:numPr>
          <w:ilvl w:val="0"/>
          <w:numId w:val="21"/>
        </w:numPr>
        <w:tabs>
          <w:tab w:val="left" w:pos="1272"/>
          <w:tab w:val="clear" w:pos="1141"/>
        </w:tabs>
        <w:spacing w:line="460" w:lineRule="exact"/>
        <w:ind w:left="1272" w:hanging="424"/>
      </w:pPr>
      <w:r>
        <w:t>单价与总价不相符，又不接受评标委员会修正的投标总价或投标报价明显低于其他投标报价而投标人不能合理说明的；</w:t>
      </w:r>
    </w:p>
    <w:p>
      <w:pPr>
        <w:numPr>
          <w:ilvl w:val="0"/>
          <w:numId w:val="21"/>
        </w:numPr>
        <w:tabs>
          <w:tab w:val="left" w:pos="1030"/>
          <w:tab w:val="left" w:pos="1272"/>
          <w:tab w:val="clear" w:pos="1141"/>
        </w:tabs>
        <w:spacing w:line="460" w:lineRule="exact"/>
        <w:ind w:left="1272" w:hanging="424"/>
      </w:pPr>
      <w:r>
        <w:t>投标报价超出项目预算；</w:t>
      </w:r>
    </w:p>
    <w:p>
      <w:pPr>
        <w:numPr>
          <w:ilvl w:val="0"/>
          <w:numId w:val="21"/>
        </w:numPr>
        <w:tabs>
          <w:tab w:val="left" w:pos="1030"/>
          <w:tab w:val="left" w:pos="1272"/>
          <w:tab w:val="clear" w:pos="1141"/>
        </w:tabs>
        <w:spacing w:line="460" w:lineRule="exact"/>
        <w:ind w:left="1272" w:hanging="424"/>
      </w:pPr>
      <w:r>
        <w:t>投标报价有漏项或重大不合理；</w:t>
      </w:r>
    </w:p>
    <w:p>
      <w:pPr>
        <w:numPr>
          <w:ilvl w:val="0"/>
          <w:numId w:val="21"/>
        </w:numPr>
        <w:tabs>
          <w:tab w:val="left" w:pos="1030"/>
          <w:tab w:val="left" w:pos="1272"/>
          <w:tab w:val="clear" w:pos="1141"/>
        </w:tabs>
        <w:spacing w:line="460" w:lineRule="exact"/>
        <w:ind w:left="1272" w:hanging="424"/>
      </w:pPr>
      <w:r>
        <w:t>主要技术规格和参数不满足用户需求书的要求以及商务有重大偏离或保留的；</w:t>
      </w:r>
    </w:p>
    <w:p>
      <w:pPr>
        <w:numPr>
          <w:ilvl w:val="0"/>
          <w:numId w:val="21"/>
        </w:numPr>
        <w:tabs>
          <w:tab w:val="left" w:pos="1030"/>
          <w:tab w:val="left" w:pos="1272"/>
          <w:tab w:val="clear" w:pos="1141"/>
        </w:tabs>
        <w:spacing w:line="460" w:lineRule="exact"/>
        <w:ind w:left="1272" w:hanging="424"/>
      </w:pPr>
      <w:r>
        <w:t>评标委员会认为其它构成投标未实质性响应招标文件要求的；</w:t>
      </w:r>
    </w:p>
    <w:p>
      <w:pPr>
        <w:numPr>
          <w:ilvl w:val="0"/>
          <w:numId w:val="21"/>
        </w:numPr>
        <w:tabs>
          <w:tab w:val="left" w:pos="1030"/>
          <w:tab w:val="left" w:pos="1272"/>
          <w:tab w:val="clear" w:pos="1141"/>
        </w:tabs>
        <w:spacing w:line="460" w:lineRule="exact"/>
        <w:ind w:left="1272" w:hanging="424"/>
      </w:pPr>
      <w:r>
        <w:t>不符合法律、法规规定的其他实质性要求的。</w:t>
      </w:r>
    </w:p>
    <w:p>
      <w:pPr>
        <w:numPr>
          <w:ilvl w:val="1"/>
          <w:numId w:val="17"/>
        </w:numPr>
        <w:tabs>
          <w:tab w:val="left" w:pos="0"/>
          <w:tab w:val="left" w:pos="644"/>
          <w:tab w:val="left" w:pos="848"/>
        </w:tabs>
        <w:spacing w:line="460" w:lineRule="exact"/>
        <w:ind w:left="848" w:hanging="848"/>
        <w:jc w:val="both"/>
      </w:pPr>
      <w:r>
        <w:t>评标委员会根据资格审查需要，可以书面方式要求投标人对提供的符合性评审资料进行澄清和说明，或对符合性评审资料复印资料提供原件查验核对，投标人应当按照评标委员会的要求以书面方式做出澄清、说明或提供相关资料原件核查。投标人不予澄清说明或没有提供原件核查的，其初步审查不予通过，投标文件作无效投标处理。</w:t>
      </w:r>
    </w:p>
    <w:p>
      <w:pPr>
        <w:numPr>
          <w:ilvl w:val="1"/>
          <w:numId w:val="17"/>
        </w:numPr>
        <w:tabs>
          <w:tab w:val="left" w:pos="0"/>
          <w:tab w:val="left" w:pos="644"/>
          <w:tab w:val="left" w:pos="851"/>
        </w:tabs>
        <w:spacing w:line="460" w:lineRule="exact"/>
        <w:ind w:left="851" w:hanging="851"/>
        <w:jc w:val="both"/>
      </w:pPr>
      <w:r>
        <w:t xml:space="preserve">    初步评审标准：详见附表</w:t>
      </w:r>
      <w:r>
        <w:rPr>
          <w:rFonts w:hint="eastAsia"/>
          <w:lang w:val="en-US" w:eastAsia="zh-CN"/>
        </w:rPr>
        <w:t>3</w:t>
      </w:r>
      <w:r>
        <w:t>-1。</w:t>
      </w:r>
    </w:p>
    <w:p>
      <w:pPr>
        <w:numPr>
          <w:ilvl w:val="0"/>
          <w:numId w:val="17"/>
        </w:numPr>
        <w:tabs>
          <w:tab w:val="left" w:pos="851"/>
        </w:tabs>
        <w:spacing w:line="460" w:lineRule="exact"/>
        <w:rPr>
          <w:b/>
          <w:sz w:val="24"/>
        </w:rPr>
      </w:pPr>
      <w:r>
        <w:rPr>
          <w:b/>
          <w:sz w:val="24"/>
        </w:rPr>
        <w:t>第二阶段：详细评审</w:t>
      </w:r>
    </w:p>
    <w:p>
      <w:pPr>
        <w:numPr>
          <w:ilvl w:val="1"/>
          <w:numId w:val="17"/>
        </w:numPr>
        <w:tabs>
          <w:tab w:val="left" w:pos="0"/>
          <w:tab w:val="left" w:pos="644"/>
          <w:tab w:val="left" w:pos="851"/>
        </w:tabs>
        <w:spacing w:line="460" w:lineRule="exact"/>
        <w:ind w:left="851" w:hanging="851"/>
        <w:jc w:val="both"/>
      </w:pPr>
      <w:r>
        <w:t>评标委员会对通过初步评审的投标文件进行详细评审，评标委员会对每一投标文件进行详细技术、商务、价格评审。按照评标程序的规定和依据评分标准以及各项权重，各位评委就每个投标人的技术状况、商务状况及其对招标文件要求的响应情况进行评议和比较，评出其</w:t>
      </w:r>
      <w:r>
        <w:rPr>
          <w:rFonts w:hint="eastAsia"/>
        </w:rPr>
        <w:t>商务</w:t>
      </w:r>
      <w:r>
        <w:t>技术评分（精确到小数点后2位）。</w:t>
      </w:r>
      <w:r>
        <w:rPr>
          <w:color w:val="000000"/>
          <w:szCs w:val="21"/>
        </w:rPr>
        <w:t>各评委的商务技术评分的算术平均值即为该投标人的商务技术评分</w:t>
      </w:r>
      <w:r>
        <w:t>（精确到小数点后2位）</w:t>
      </w:r>
      <w:r>
        <w:rPr>
          <w:color w:val="000000"/>
          <w:szCs w:val="21"/>
        </w:rPr>
        <w:t>。</w:t>
      </w:r>
      <w:r>
        <w:t>然后，评出价格评分，将商务技术评分和价格评分分别乘以权重相加得出综合得分（精确到小数点后2位），并按综合得分从高到低依次排名（第一名、第二名 … ，出现并列得分时，价格低者优先；得分相同，价格相同的，技术得分高者优先）。最后，评标委员会将依据综合得分的次序推荐中标候选人。</w:t>
      </w:r>
    </w:p>
    <w:p>
      <w:pPr>
        <w:numPr>
          <w:ilvl w:val="1"/>
          <w:numId w:val="17"/>
        </w:numPr>
        <w:tabs>
          <w:tab w:val="left" w:pos="0"/>
          <w:tab w:val="left" w:pos="644"/>
          <w:tab w:val="left" w:pos="770"/>
          <w:tab w:val="left" w:pos="851"/>
        </w:tabs>
        <w:spacing w:line="460" w:lineRule="exact"/>
        <w:ind w:left="851" w:hanging="851"/>
        <w:jc w:val="both"/>
      </w:pPr>
      <w:r>
        <w:t>评分标准：</w:t>
      </w:r>
    </w:p>
    <w:p>
      <w:pPr>
        <w:spacing w:line="460" w:lineRule="exact"/>
        <w:ind w:left="735"/>
      </w:pPr>
      <w:r>
        <w:t>a）商务</w:t>
      </w:r>
      <w:r>
        <w:rPr>
          <w:rFonts w:hint="eastAsia"/>
        </w:rPr>
        <w:t>技术</w:t>
      </w:r>
      <w:r>
        <w:t>评分标准：详见表3-2。</w:t>
      </w:r>
    </w:p>
    <w:p>
      <w:pPr>
        <w:spacing w:line="460" w:lineRule="exact"/>
        <w:ind w:left="735"/>
      </w:pPr>
      <w:r>
        <w:t>b）价格的核准和评分。</w:t>
      </w:r>
    </w:p>
    <w:p>
      <w:pPr>
        <w:numPr>
          <w:ilvl w:val="0"/>
          <w:numId w:val="22"/>
        </w:numPr>
        <w:spacing w:line="460" w:lineRule="exact"/>
      </w:pPr>
      <w:r>
        <w:rPr>
          <w:szCs w:val="21"/>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numPr>
          <w:ilvl w:val="0"/>
          <w:numId w:val="22"/>
        </w:numPr>
        <w:spacing w:line="460" w:lineRule="exact"/>
      </w:pPr>
      <w:r>
        <w:t>评标委员会详细分析、核准价格表，看其是否有计算上或累加上的算术错误，修正错误的原则如下：</w:t>
      </w:r>
    </w:p>
    <w:p>
      <w:pPr>
        <w:spacing w:line="460" w:lineRule="exact"/>
        <w:ind w:left="1590" w:hanging="750"/>
      </w:pPr>
      <w:r>
        <w:t xml:space="preserve">    </w:t>
      </w:r>
      <w:r>
        <w:rPr>
          <w:rFonts w:ascii="宋体"/>
        </w:rPr>
        <w:t>①</w:t>
      </w:r>
      <w:r>
        <w:t xml:space="preserve"> 若投标文件中的大写金额和小写金额不一致时，以大写金额为准；总价金额与按单价计算汇总金额不一致的，以单价计算汇总金额为准；单价金额小数点有明显错位的，应以总价为准，并修改单价；</w:t>
      </w:r>
    </w:p>
    <w:p>
      <w:pPr>
        <w:spacing w:line="460" w:lineRule="exact"/>
        <w:ind w:left="1590" w:hanging="750"/>
      </w:pPr>
      <w:r>
        <w:t xml:space="preserve">    </w:t>
      </w:r>
      <w:r>
        <w:rPr>
          <w:rFonts w:ascii="宋体"/>
        </w:rPr>
        <w:t>②</w:t>
      </w:r>
      <w:r>
        <w:t xml:space="preserve"> 对投标货物的关键、主要内容，投标供应商报价漏项的，作非实质性响应投标处理；</w:t>
      </w:r>
    </w:p>
    <w:p>
      <w:pPr>
        <w:spacing w:line="460" w:lineRule="exact"/>
        <w:ind w:left="1590" w:hanging="750"/>
      </w:pPr>
      <w:r>
        <w:t xml:space="preserve">    </w:t>
      </w:r>
      <w:r>
        <w:rPr>
          <w:rFonts w:ascii="宋体"/>
        </w:rPr>
        <w:t>③</w:t>
      </w:r>
      <w:r>
        <w:t xml:space="preserve"> 对非关键、非主要内容的费用，如果投标供应商是另行单独报价的，评标时也相应另行计入其评标价。</w:t>
      </w:r>
    </w:p>
    <w:p>
      <w:pPr>
        <w:spacing w:line="460" w:lineRule="exact"/>
        <w:ind w:left="1590" w:hanging="750"/>
      </w:pPr>
      <w:r>
        <w:t xml:space="preserve">    ④对数量的评审，以第二部分《用户需求书》所明示数量为准；《用户需求书》未明示的，由评标委员会以其专业知识判断，必要时参考投标供应商的澄清文件决定。</w:t>
      </w:r>
    </w:p>
    <w:p>
      <w:pPr>
        <w:spacing w:line="460" w:lineRule="exact"/>
        <w:ind w:left="1589" w:leftChars="600" w:hanging="329" w:hangingChars="157"/>
      </w:pPr>
      <w:r>
        <w:t>⑤本条款中多种处理原则所产生的结果不一致的，以最高的修正价作为核实价。</w:t>
      </w:r>
    </w:p>
    <w:p>
      <w:pPr>
        <w:numPr>
          <w:ilvl w:val="0"/>
          <w:numId w:val="22"/>
        </w:numPr>
        <w:spacing w:line="460" w:lineRule="exact"/>
      </w:pPr>
      <w:r>
        <w:t>评标委员会将按上述修正错误的方法调整投标文件中的投标报价，调整后的价格对投标人具有约束力。如果投标人不接受修正后的价格，则其投标将被拒绝。</w:t>
      </w:r>
    </w:p>
    <w:p>
      <w:pPr>
        <w:numPr>
          <w:ilvl w:val="0"/>
          <w:numId w:val="22"/>
        </w:numPr>
        <w:spacing w:line="460" w:lineRule="exact"/>
      </w:pPr>
      <w:r>
        <w:t>评标价的确定：按上述条款的原则校核修正后的价格为评标价。</w:t>
      </w:r>
    </w:p>
    <w:p>
      <w:pPr>
        <w:numPr>
          <w:ilvl w:val="0"/>
          <w:numId w:val="22"/>
        </w:numPr>
        <w:spacing w:line="460" w:lineRule="exact"/>
        <w:rPr>
          <w:color w:val="000000" w:themeColor="text1"/>
        </w:rPr>
      </w:pPr>
      <w:r>
        <w:rPr>
          <w:color w:val="000000" w:themeColor="text1"/>
        </w:rPr>
        <w:t>价格评分：</w:t>
      </w:r>
      <w:r>
        <w:rPr>
          <w:color w:val="000000" w:themeColor="text1"/>
          <w:szCs w:val="30"/>
        </w:rPr>
        <w:t>满足招标文件要求且评标价格最低的为评标基准价，其价格分为满分100。其他投标人的价格分统一按照下列公式计算：</w:t>
      </w:r>
    </w:p>
    <w:p>
      <w:pPr>
        <w:spacing w:line="460" w:lineRule="exact"/>
        <w:ind w:left="840"/>
        <w:jc w:val="center"/>
        <w:rPr>
          <w:b/>
          <w:color w:val="000000" w:themeColor="text1"/>
          <w:szCs w:val="30"/>
        </w:rPr>
      </w:pPr>
      <w:r>
        <w:rPr>
          <w:b/>
          <w:color w:val="000000" w:themeColor="text1"/>
          <w:szCs w:val="30"/>
        </w:rPr>
        <w:t>投标报价得分（精确到小数点后2位）=(评标基准价／评标价)×价格权</w:t>
      </w:r>
      <w:r>
        <w:rPr>
          <w:b/>
          <w:color w:val="000000" w:themeColor="text1"/>
        </w:rPr>
        <w:t>重</w:t>
      </w:r>
      <w:r>
        <w:rPr>
          <w:b/>
          <w:color w:val="000000" w:themeColor="text1"/>
          <w:szCs w:val="30"/>
        </w:rPr>
        <w:t>×100</w:t>
      </w:r>
    </w:p>
    <w:p>
      <w:pPr>
        <w:numPr>
          <w:ilvl w:val="1"/>
          <w:numId w:val="17"/>
        </w:numPr>
        <w:tabs>
          <w:tab w:val="left" w:pos="0"/>
          <w:tab w:val="left" w:pos="644"/>
          <w:tab w:val="left" w:pos="851"/>
        </w:tabs>
        <w:spacing w:line="460" w:lineRule="exact"/>
        <w:ind w:left="851" w:hanging="851"/>
        <w:jc w:val="both"/>
        <w:rPr>
          <w:b/>
        </w:rPr>
      </w:pPr>
      <w:r>
        <w:rPr>
          <w:b/>
        </w:rPr>
        <w:t>权重分配</w:t>
      </w:r>
    </w:p>
    <w:tbl>
      <w:tblPr>
        <w:tblStyle w:val="47"/>
        <w:tblpPr w:leftFromText="180" w:rightFromText="180" w:vertAnchor="text" w:horzAnchor="margin" w:tblpXSpec="center" w:tblpY="59"/>
        <w:tblW w:w="84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2510"/>
        <w:gridCol w:w="2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240" w:type="dxa"/>
            <w:vAlign w:val="center"/>
          </w:tcPr>
          <w:p>
            <w:pPr>
              <w:spacing w:line="360" w:lineRule="auto"/>
              <w:jc w:val="center"/>
              <w:rPr>
                <w:szCs w:val="21"/>
              </w:rPr>
            </w:pPr>
            <w:r>
              <w:rPr>
                <w:rFonts w:hint="eastAsia"/>
                <w:szCs w:val="21"/>
              </w:rPr>
              <w:t>评分项目</w:t>
            </w:r>
          </w:p>
        </w:tc>
        <w:tc>
          <w:tcPr>
            <w:tcW w:w="2510" w:type="dxa"/>
            <w:tcBorders>
              <w:right w:val="single" w:color="auto" w:sz="4" w:space="0"/>
            </w:tcBorders>
            <w:vAlign w:val="center"/>
          </w:tcPr>
          <w:p>
            <w:pPr>
              <w:spacing w:line="360" w:lineRule="auto"/>
              <w:jc w:val="center"/>
              <w:rPr>
                <w:szCs w:val="21"/>
              </w:rPr>
            </w:pPr>
            <w:r>
              <w:rPr>
                <w:rFonts w:hint="eastAsia"/>
                <w:szCs w:val="21"/>
              </w:rPr>
              <w:t>商务技术评分</w:t>
            </w:r>
          </w:p>
        </w:tc>
        <w:tc>
          <w:tcPr>
            <w:tcW w:w="2722" w:type="dxa"/>
            <w:vAlign w:val="center"/>
          </w:tcPr>
          <w:p>
            <w:pPr>
              <w:spacing w:line="360" w:lineRule="auto"/>
              <w:jc w:val="center"/>
              <w:rPr>
                <w:szCs w:val="21"/>
              </w:rPr>
            </w:pPr>
            <w:r>
              <w:rPr>
                <w:rFonts w:hint="eastAsia"/>
                <w:szCs w:val="21"/>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240" w:type="dxa"/>
            <w:vAlign w:val="center"/>
          </w:tcPr>
          <w:p>
            <w:pPr>
              <w:spacing w:line="360" w:lineRule="auto"/>
              <w:jc w:val="center"/>
              <w:rPr>
                <w:szCs w:val="21"/>
              </w:rPr>
            </w:pPr>
            <w:r>
              <w:rPr>
                <w:rFonts w:hint="eastAsia"/>
                <w:szCs w:val="21"/>
              </w:rPr>
              <w:t>权重</w:t>
            </w:r>
          </w:p>
        </w:tc>
        <w:tc>
          <w:tcPr>
            <w:tcW w:w="2510" w:type="dxa"/>
            <w:tcBorders>
              <w:right w:val="single" w:color="auto" w:sz="4" w:space="0"/>
            </w:tcBorders>
            <w:vAlign w:val="center"/>
          </w:tcPr>
          <w:p>
            <w:pPr>
              <w:spacing w:line="360" w:lineRule="auto"/>
              <w:jc w:val="center"/>
              <w:rPr>
                <w:szCs w:val="21"/>
              </w:rPr>
            </w:pPr>
            <w:r>
              <w:rPr>
                <w:rFonts w:hint="eastAsia"/>
                <w:szCs w:val="21"/>
              </w:rPr>
              <w:t>80%</w:t>
            </w:r>
          </w:p>
        </w:tc>
        <w:tc>
          <w:tcPr>
            <w:tcW w:w="2722" w:type="dxa"/>
            <w:vAlign w:val="center"/>
          </w:tcPr>
          <w:p>
            <w:pPr>
              <w:spacing w:line="360" w:lineRule="auto"/>
              <w:jc w:val="center"/>
              <w:rPr>
                <w:szCs w:val="21"/>
              </w:rPr>
            </w:pPr>
            <w:r>
              <w:rPr>
                <w:rFonts w:hint="eastAsia"/>
                <w:szCs w:val="21"/>
              </w:rPr>
              <w:t>20%</w:t>
            </w:r>
          </w:p>
        </w:tc>
      </w:tr>
    </w:tbl>
    <w:p>
      <w:pPr>
        <w:numPr>
          <w:ilvl w:val="0"/>
          <w:numId w:val="17"/>
        </w:numPr>
        <w:tabs>
          <w:tab w:val="left" w:pos="851"/>
        </w:tabs>
        <w:spacing w:line="460" w:lineRule="exact"/>
        <w:rPr>
          <w:b/>
          <w:sz w:val="24"/>
        </w:rPr>
      </w:pPr>
      <w:r>
        <w:rPr>
          <w:b/>
          <w:sz w:val="24"/>
        </w:rPr>
        <w:t>投标文件的修正和澄清</w:t>
      </w:r>
    </w:p>
    <w:p>
      <w:pPr>
        <w:numPr>
          <w:ilvl w:val="1"/>
          <w:numId w:val="17"/>
        </w:numPr>
        <w:tabs>
          <w:tab w:val="left" w:pos="644"/>
          <w:tab w:val="left" w:pos="848"/>
        </w:tabs>
        <w:spacing w:line="460" w:lineRule="exact"/>
        <w:ind w:left="848" w:hanging="848"/>
        <w:jc w:val="both"/>
      </w:pPr>
      <w:r>
        <w:t>为有助于对投标文件的审核、评价和比较，评标委员会可分别要求投标人对其投标文件进行澄清，有关澄清的要求和答复先以口头形式进行，最终要以书面形式确认，但不得寻求、提供或允许对投标价格或实质性内容做任何更改。</w:t>
      </w:r>
    </w:p>
    <w:p>
      <w:pPr>
        <w:numPr>
          <w:ilvl w:val="1"/>
          <w:numId w:val="17"/>
        </w:numPr>
        <w:tabs>
          <w:tab w:val="left" w:pos="644"/>
          <w:tab w:val="left" w:pos="848"/>
        </w:tabs>
        <w:spacing w:line="460" w:lineRule="exact"/>
        <w:ind w:left="848" w:hanging="848"/>
        <w:jc w:val="both"/>
      </w:pPr>
      <w:r>
        <w:t>评标委员会和招标人在评标过程中认为有必要将对投标人进行实地核查，并在必要时核对投标文件的原件。</w:t>
      </w:r>
    </w:p>
    <w:p>
      <w:pPr>
        <w:numPr>
          <w:ilvl w:val="0"/>
          <w:numId w:val="17"/>
        </w:numPr>
        <w:tabs>
          <w:tab w:val="left" w:pos="851"/>
        </w:tabs>
        <w:spacing w:line="460" w:lineRule="exact"/>
        <w:jc w:val="both"/>
        <w:rPr>
          <w:b/>
          <w:sz w:val="24"/>
        </w:rPr>
      </w:pPr>
      <w:r>
        <w:rPr>
          <w:b/>
          <w:sz w:val="24"/>
        </w:rPr>
        <w:t>中标人的确定</w:t>
      </w:r>
    </w:p>
    <w:p>
      <w:pPr>
        <w:spacing w:line="460" w:lineRule="exact"/>
        <w:jc w:val="both"/>
        <w:rPr>
          <w:b/>
          <w:sz w:val="24"/>
        </w:rPr>
      </w:pPr>
      <w:r>
        <w:t>（1）   评标委员会按照招标文件确定的评标方法、步骤、标准，对投标文件进行评审，提出书面评标报告。</w:t>
      </w:r>
    </w:p>
    <w:p>
      <w:pPr>
        <w:spacing w:line="460" w:lineRule="exact"/>
        <w:jc w:val="both"/>
      </w:pPr>
      <w:r>
        <w:t>（2）    采用综合评分法的，按评审后综合得分由高到低顺序排列。</w:t>
      </w:r>
    </w:p>
    <w:p>
      <w:pPr>
        <w:spacing w:line="460" w:lineRule="exact"/>
        <w:jc w:val="both"/>
      </w:pPr>
      <w:r>
        <w:t>（3）   招标人在收到评标报告后的</w:t>
      </w:r>
      <w:r>
        <w:rPr>
          <w:rFonts w:hint="eastAsia"/>
          <w:lang w:val="en-US" w:eastAsia="zh-CN"/>
        </w:rPr>
        <w:t>3</w:t>
      </w:r>
      <w:r>
        <w:t>个工作日内，按照评标报告中推荐的中标候选人顺序确定中标人，也可以事先授权评标委员会直接确定中标人。</w:t>
      </w:r>
    </w:p>
    <w:p>
      <w:pPr>
        <w:numPr>
          <w:ilvl w:val="0"/>
          <w:numId w:val="17"/>
        </w:numPr>
        <w:tabs>
          <w:tab w:val="left" w:pos="851"/>
        </w:tabs>
        <w:spacing w:line="460" w:lineRule="exact"/>
        <w:jc w:val="both"/>
        <w:rPr>
          <w:b/>
          <w:sz w:val="24"/>
        </w:rPr>
      </w:pPr>
      <w:r>
        <w:rPr>
          <w:b/>
          <w:sz w:val="24"/>
        </w:rPr>
        <w:t>招标结果公告</w:t>
      </w:r>
      <w:bookmarkStart w:id="108" w:name="_GoBack"/>
      <w:bookmarkEnd w:id="108"/>
    </w:p>
    <w:p>
      <w:pPr>
        <w:numPr>
          <w:ilvl w:val="1"/>
          <w:numId w:val="17"/>
        </w:numPr>
        <w:tabs>
          <w:tab w:val="left" w:pos="644"/>
          <w:tab w:val="left" w:pos="851"/>
        </w:tabs>
        <w:spacing w:line="460" w:lineRule="exact"/>
        <w:ind w:left="851" w:hanging="851"/>
        <w:jc w:val="both"/>
      </w:pPr>
      <w:r>
        <w:t>招标代理机构将在</w:t>
      </w:r>
      <w:r>
        <w:rPr>
          <w:rFonts w:hint="eastAsia" w:ascii="宋体" w:hAnsi="宋体"/>
          <w:highlight w:val="none"/>
        </w:rPr>
        <w:t>中国采购与招标网（https://www.chinabidding.cn/)、中山市公共资源交易网（</w:t>
      </w:r>
      <w:r>
        <w:rPr>
          <w:rFonts w:hint="eastAsia" w:ascii="宋体" w:hAnsi="宋体"/>
          <w:highlight w:val="none"/>
          <w:lang w:eastAsia="zh-CN"/>
        </w:rPr>
        <w:t>http://ggzyjy.zs.gov.cn</w:t>
      </w:r>
      <w:r>
        <w:rPr>
          <w:rFonts w:hint="eastAsia" w:ascii="宋体" w:hAnsi="宋体"/>
          <w:highlight w:val="none"/>
        </w:rPr>
        <w:t>）、</w:t>
      </w:r>
      <w:r>
        <w:rPr>
          <w:rFonts w:hint="eastAsia" w:ascii="宋体" w:hAnsi="宋体"/>
          <w:highlight w:val="none"/>
          <w:lang w:eastAsia="zh-CN"/>
        </w:rPr>
        <w:t>广东钧信建设管理有限公司</w:t>
      </w:r>
      <w:r>
        <w:rPr>
          <w:rFonts w:hint="eastAsia" w:ascii="宋体" w:hAnsi="宋体"/>
          <w:szCs w:val="22"/>
          <w:highlight w:val="none"/>
          <w:lang w:eastAsia="zh-CN"/>
        </w:rPr>
        <w:t>(http://www.gdjxjl.com/)</w:t>
      </w:r>
      <w:r>
        <w:t>公示招标结果。</w:t>
      </w:r>
    </w:p>
    <w:p>
      <w:pPr>
        <w:numPr>
          <w:ilvl w:val="0"/>
          <w:numId w:val="17"/>
        </w:numPr>
        <w:tabs>
          <w:tab w:val="left" w:pos="851"/>
        </w:tabs>
        <w:spacing w:line="460" w:lineRule="exact"/>
        <w:jc w:val="both"/>
        <w:rPr>
          <w:b/>
          <w:sz w:val="24"/>
        </w:rPr>
      </w:pPr>
      <w:r>
        <w:rPr>
          <w:b/>
          <w:sz w:val="24"/>
        </w:rPr>
        <w:t>质疑</w:t>
      </w:r>
    </w:p>
    <w:p>
      <w:pPr>
        <w:numPr>
          <w:ilvl w:val="1"/>
          <w:numId w:val="17"/>
        </w:numPr>
        <w:tabs>
          <w:tab w:val="left" w:pos="644"/>
          <w:tab w:val="left" w:pos="851"/>
        </w:tabs>
        <w:spacing w:line="460" w:lineRule="exact"/>
        <w:ind w:left="851" w:hanging="851"/>
        <w:jc w:val="both"/>
      </w:pPr>
      <w:r>
        <w:t>投标人认为招标过程或评标结果使自己的合法权益受到损害的，可以在知道或者应知其权益受到损害之日起7个工作日内，以书面形式向招标人或招标代理机构提出质疑，但需对质疑或投诉内容的真实性承担责任。招标人或招标代理机构应在收到投标人书面质疑后7个工作日内，对质疑内容作出答复。</w:t>
      </w:r>
    </w:p>
    <w:p>
      <w:pPr>
        <w:numPr>
          <w:ilvl w:val="1"/>
          <w:numId w:val="17"/>
        </w:numPr>
        <w:tabs>
          <w:tab w:val="left" w:pos="644"/>
          <w:tab w:val="left" w:pos="851"/>
        </w:tabs>
        <w:spacing w:line="460" w:lineRule="exact"/>
        <w:ind w:left="851" w:hanging="851"/>
        <w:jc w:val="both"/>
      </w:pPr>
      <w:r>
        <w:t>投标人提出质疑时应当提交《质疑书》并署名（加盖公章）。《质疑书》应当包括下列主要内容：</w:t>
      </w:r>
    </w:p>
    <w:p>
      <w:pPr>
        <w:numPr>
          <w:ilvl w:val="2"/>
          <w:numId w:val="23"/>
        </w:numPr>
        <w:tabs>
          <w:tab w:val="left" w:pos="1272"/>
          <w:tab w:val="clear" w:pos="2250"/>
        </w:tabs>
        <w:spacing w:line="460" w:lineRule="exact"/>
        <w:ind w:left="1272" w:hanging="424"/>
        <w:jc w:val="both"/>
      </w:pPr>
      <w:r>
        <w:t>质疑人的名称、地址、电话等；</w:t>
      </w:r>
    </w:p>
    <w:p>
      <w:pPr>
        <w:numPr>
          <w:ilvl w:val="2"/>
          <w:numId w:val="23"/>
        </w:numPr>
        <w:tabs>
          <w:tab w:val="left" w:pos="1272"/>
        </w:tabs>
        <w:spacing w:line="460" w:lineRule="exact"/>
        <w:ind w:left="1272" w:hanging="424"/>
        <w:jc w:val="both"/>
      </w:pPr>
      <w:r>
        <w:t>所质疑的招标项目，具体的质疑事项及事实依据（包括证据资料）；</w:t>
      </w:r>
    </w:p>
    <w:p>
      <w:pPr>
        <w:numPr>
          <w:ilvl w:val="2"/>
          <w:numId w:val="23"/>
        </w:numPr>
        <w:tabs>
          <w:tab w:val="left" w:pos="1272"/>
        </w:tabs>
        <w:spacing w:line="460" w:lineRule="exact"/>
        <w:ind w:left="1272" w:hanging="424"/>
        <w:jc w:val="both"/>
      </w:pPr>
      <w:r>
        <w:t>提起质疑的日期；</w:t>
      </w:r>
    </w:p>
    <w:p>
      <w:pPr>
        <w:numPr>
          <w:ilvl w:val="1"/>
          <w:numId w:val="17"/>
        </w:numPr>
        <w:tabs>
          <w:tab w:val="left" w:pos="644"/>
          <w:tab w:val="left" w:pos="851"/>
        </w:tabs>
        <w:spacing w:line="460" w:lineRule="exact"/>
        <w:ind w:left="851" w:hanging="851"/>
        <w:jc w:val="both"/>
      </w:pPr>
      <w:r>
        <w:t>质疑人进行质疑应当符合下列条件：</w:t>
      </w:r>
    </w:p>
    <w:p>
      <w:pPr>
        <w:numPr>
          <w:ilvl w:val="0"/>
          <w:numId w:val="24"/>
        </w:numPr>
        <w:tabs>
          <w:tab w:val="left" w:pos="1272"/>
          <w:tab w:val="clear" w:pos="1920"/>
        </w:tabs>
        <w:spacing w:line="460" w:lineRule="exact"/>
        <w:ind w:left="1272" w:hanging="424"/>
        <w:jc w:val="both"/>
      </w:pPr>
      <w:r>
        <w:t>质疑人是参与所质疑招标项目的供应商；</w:t>
      </w:r>
    </w:p>
    <w:p>
      <w:pPr>
        <w:numPr>
          <w:ilvl w:val="0"/>
          <w:numId w:val="24"/>
        </w:numPr>
        <w:tabs>
          <w:tab w:val="left" w:pos="1272"/>
          <w:tab w:val="clear" w:pos="1920"/>
        </w:tabs>
        <w:spacing w:line="460" w:lineRule="exact"/>
        <w:ind w:left="1272" w:hanging="424"/>
        <w:jc w:val="both"/>
      </w:pPr>
      <w:r>
        <w:t>在质疑有效期内提起质疑；</w:t>
      </w:r>
    </w:p>
    <w:p>
      <w:pPr>
        <w:numPr>
          <w:ilvl w:val="0"/>
          <w:numId w:val="24"/>
        </w:numPr>
        <w:tabs>
          <w:tab w:val="left" w:pos="1272"/>
          <w:tab w:val="clear" w:pos="1920"/>
        </w:tabs>
        <w:spacing w:line="460" w:lineRule="exact"/>
        <w:ind w:left="1272" w:hanging="424"/>
        <w:jc w:val="both"/>
      </w:pPr>
      <w:r>
        <w:t>法律法规规定的其他条件。</w:t>
      </w:r>
    </w:p>
    <w:p>
      <w:pPr>
        <w:spacing w:line="460" w:lineRule="exact"/>
        <w:ind w:firstLine="900"/>
        <w:rPr>
          <w:rFonts w:hint="eastAsia" w:eastAsia="宋体"/>
          <w:lang w:eastAsia="zh-CN"/>
        </w:rPr>
      </w:pPr>
      <w:r>
        <w:t>招标代理机构：</w:t>
      </w:r>
      <w:r>
        <w:rPr>
          <w:rFonts w:hint="eastAsia"/>
          <w:lang w:eastAsia="zh-CN"/>
        </w:rPr>
        <w:t>广东钧信建设管理有限公司中山分公司</w:t>
      </w:r>
    </w:p>
    <w:p>
      <w:pPr>
        <w:spacing w:line="460" w:lineRule="exact"/>
        <w:ind w:left="697" w:leftChars="332" w:firstLine="210" w:firstLineChars="100"/>
        <w:jc w:val="both"/>
      </w:pPr>
      <w:r>
        <w:t>地    址</w:t>
      </w:r>
      <w:r>
        <w:rPr>
          <w:rFonts w:hint="eastAsia"/>
          <w:lang w:eastAsia="zh-CN"/>
        </w:rPr>
        <w:t>：</w:t>
      </w:r>
      <w:r>
        <w:rPr>
          <w:rFonts w:hint="eastAsia"/>
          <w:szCs w:val="22"/>
          <w:lang w:eastAsia="zh-CN"/>
        </w:rPr>
        <w:t>中山市东区起湾银湾南路52号二层B4-1卡</w:t>
      </w:r>
    </w:p>
    <w:p>
      <w:pPr>
        <w:numPr>
          <w:ilvl w:val="0"/>
          <w:numId w:val="17"/>
        </w:numPr>
        <w:tabs>
          <w:tab w:val="left" w:pos="851"/>
        </w:tabs>
        <w:spacing w:line="460" w:lineRule="exact"/>
        <w:jc w:val="both"/>
      </w:pPr>
      <w:r>
        <w:rPr>
          <w:b/>
          <w:sz w:val="24"/>
        </w:rPr>
        <w:t>投诉</w:t>
      </w:r>
    </w:p>
    <w:p>
      <w:pPr>
        <w:numPr>
          <w:ilvl w:val="1"/>
          <w:numId w:val="17"/>
        </w:numPr>
        <w:tabs>
          <w:tab w:val="left" w:pos="644"/>
          <w:tab w:val="left" w:pos="851"/>
        </w:tabs>
        <w:spacing w:line="460" w:lineRule="exact"/>
        <w:ind w:left="851" w:hanging="851"/>
        <w:jc w:val="both"/>
      </w:pPr>
      <w:r>
        <w:t>对招标人或招标代理机构的答复不满意或他们未在规定时间内给予答复的，提出质疑的投标人可以在答复期满后15个工作日内向监督管理机构投诉。</w:t>
      </w:r>
    </w:p>
    <w:p>
      <w:pPr>
        <w:numPr>
          <w:ilvl w:val="1"/>
          <w:numId w:val="17"/>
        </w:numPr>
        <w:tabs>
          <w:tab w:val="left" w:pos="644"/>
          <w:tab w:val="left" w:pos="851"/>
        </w:tabs>
        <w:spacing w:line="460" w:lineRule="exact"/>
        <w:ind w:left="851" w:hanging="851"/>
        <w:jc w:val="both"/>
      </w:pPr>
      <w:r>
        <w:t>下列情形投诉将不予受理：</w:t>
      </w:r>
    </w:p>
    <w:p>
      <w:pPr>
        <w:numPr>
          <w:ilvl w:val="0"/>
          <w:numId w:val="25"/>
        </w:numPr>
        <w:tabs>
          <w:tab w:val="left" w:pos="1272"/>
          <w:tab w:val="clear" w:pos="1920"/>
        </w:tabs>
        <w:spacing w:line="460" w:lineRule="exact"/>
        <w:ind w:left="1272" w:hanging="424"/>
        <w:jc w:val="both"/>
      </w:pPr>
      <w:r>
        <w:t>投诉人不是参加所投诉项目招投标活动的当事人；</w:t>
      </w:r>
    </w:p>
    <w:p>
      <w:pPr>
        <w:numPr>
          <w:ilvl w:val="0"/>
          <w:numId w:val="25"/>
        </w:numPr>
        <w:tabs>
          <w:tab w:val="left" w:pos="1272"/>
          <w:tab w:val="clear" w:pos="1920"/>
        </w:tabs>
        <w:spacing w:line="460" w:lineRule="exact"/>
        <w:ind w:left="1272" w:hanging="424"/>
        <w:jc w:val="both"/>
      </w:pPr>
      <w:r>
        <w:t>被投诉人为招标人或招标代理机构之外的当事人；</w:t>
      </w:r>
    </w:p>
    <w:p>
      <w:pPr>
        <w:numPr>
          <w:ilvl w:val="0"/>
          <w:numId w:val="25"/>
        </w:numPr>
        <w:tabs>
          <w:tab w:val="left" w:pos="1272"/>
          <w:tab w:val="clear" w:pos="1920"/>
        </w:tabs>
        <w:spacing w:line="460" w:lineRule="exact"/>
        <w:ind w:left="1272" w:hanging="424"/>
        <w:jc w:val="both"/>
      </w:pPr>
      <w:r>
        <w:t>所投诉事项未经过质疑的；</w:t>
      </w:r>
    </w:p>
    <w:p>
      <w:pPr>
        <w:numPr>
          <w:ilvl w:val="0"/>
          <w:numId w:val="25"/>
        </w:numPr>
        <w:tabs>
          <w:tab w:val="left" w:pos="1272"/>
          <w:tab w:val="clear" w:pos="1920"/>
        </w:tabs>
        <w:spacing w:line="460" w:lineRule="exact"/>
        <w:ind w:left="1272" w:hanging="424"/>
        <w:jc w:val="both"/>
      </w:pPr>
      <w:r>
        <w:t>所有投诉事项超过投诉有效期；</w:t>
      </w:r>
    </w:p>
    <w:p>
      <w:pPr>
        <w:numPr>
          <w:ilvl w:val="0"/>
          <w:numId w:val="25"/>
        </w:numPr>
        <w:tabs>
          <w:tab w:val="left" w:pos="1272"/>
          <w:tab w:val="clear" w:pos="1920"/>
        </w:tabs>
        <w:spacing w:line="460" w:lineRule="exact"/>
        <w:ind w:left="1272" w:hanging="424"/>
        <w:jc w:val="both"/>
      </w:pPr>
      <w:r>
        <w:t>以具有法律效力的文书送达之外方式提出的投诉；</w:t>
      </w:r>
    </w:p>
    <w:p>
      <w:pPr>
        <w:numPr>
          <w:ilvl w:val="0"/>
          <w:numId w:val="25"/>
        </w:numPr>
        <w:tabs>
          <w:tab w:val="left" w:pos="1272"/>
          <w:tab w:val="clear" w:pos="1920"/>
        </w:tabs>
        <w:spacing w:line="460" w:lineRule="exact"/>
        <w:ind w:left="1272" w:hanging="424"/>
        <w:jc w:val="both"/>
      </w:pPr>
      <w:r>
        <w:t>同一投诉事项已经财政部门投诉处理的；</w:t>
      </w:r>
    </w:p>
    <w:p>
      <w:pPr>
        <w:numPr>
          <w:ilvl w:val="0"/>
          <w:numId w:val="25"/>
        </w:numPr>
        <w:tabs>
          <w:tab w:val="left" w:pos="1272"/>
          <w:tab w:val="clear" w:pos="1920"/>
        </w:tabs>
        <w:spacing w:line="460" w:lineRule="exact"/>
        <w:ind w:left="1272" w:hanging="424"/>
        <w:jc w:val="both"/>
      </w:pPr>
      <w:r>
        <w:t>投诉书内容不符合规定，监督管理机构及时告知投诉人限期补充或修改后重新投诉，投诉人逾期不按要求补充或修改投诉书的。</w:t>
      </w:r>
    </w:p>
    <w:p>
      <w:pPr>
        <w:numPr>
          <w:ilvl w:val="1"/>
          <w:numId w:val="17"/>
        </w:numPr>
        <w:tabs>
          <w:tab w:val="left" w:pos="644"/>
          <w:tab w:val="left" w:pos="851"/>
        </w:tabs>
        <w:spacing w:line="460" w:lineRule="exact"/>
        <w:ind w:left="851" w:hanging="851"/>
        <w:jc w:val="both"/>
      </w:pPr>
      <w:r>
        <w:t>投诉人有下列情形之一的，属于虚假、恶意投诉，驳回投诉，将其列入不良行为记录名单，并依法予以处罚：</w:t>
      </w:r>
    </w:p>
    <w:p>
      <w:pPr>
        <w:numPr>
          <w:ilvl w:val="0"/>
          <w:numId w:val="26"/>
        </w:numPr>
        <w:tabs>
          <w:tab w:val="left" w:pos="1272"/>
          <w:tab w:val="clear" w:pos="1920"/>
        </w:tabs>
        <w:spacing w:line="460" w:lineRule="exact"/>
        <w:ind w:left="1272" w:hanging="424"/>
        <w:jc w:val="both"/>
      </w:pPr>
      <w:r>
        <w:t>一年内三次以上投诉均查无实据的；</w:t>
      </w:r>
    </w:p>
    <w:p>
      <w:pPr>
        <w:numPr>
          <w:ilvl w:val="0"/>
          <w:numId w:val="26"/>
        </w:numPr>
        <w:tabs>
          <w:tab w:val="left" w:pos="1272"/>
          <w:tab w:val="clear" w:pos="1920"/>
        </w:tabs>
        <w:spacing w:line="460" w:lineRule="exact"/>
        <w:ind w:left="1272" w:hanging="424"/>
        <w:jc w:val="both"/>
        <w:rPr>
          <w:b/>
          <w:sz w:val="24"/>
        </w:rPr>
      </w:pPr>
      <w:r>
        <w:t>捏造事实或者提供虚假投诉材料的。</w:t>
      </w:r>
    </w:p>
    <w:p>
      <w:pPr>
        <w:numPr>
          <w:ilvl w:val="0"/>
          <w:numId w:val="17"/>
        </w:numPr>
        <w:tabs>
          <w:tab w:val="left" w:pos="851"/>
        </w:tabs>
        <w:snapToGrid w:val="0"/>
        <w:spacing w:line="460" w:lineRule="exact"/>
        <w:jc w:val="both"/>
        <w:rPr>
          <w:b/>
          <w:sz w:val="24"/>
        </w:rPr>
      </w:pPr>
      <w:r>
        <w:rPr>
          <w:b/>
          <w:sz w:val="24"/>
        </w:rPr>
        <w:t>接受和拒绝任何或所有投标的权力</w:t>
      </w:r>
    </w:p>
    <w:p>
      <w:pPr>
        <w:numPr>
          <w:ilvl w:val="1"/>
          <w:numId w:val="17"/>
        </w:numPr>
        <w:tabs>
          <w:tab w:val="left" w:pos="644"/>
          <w:tab w:val="left" w:pos="851"/>
        </w:tabs>
        <w:snapToGrid w:val="0"/>
        <w:spacing w:line="460" w:lineRule="exact"/>
        <w:ind w:left="851" w:hanging="851"/>
        <w:jc w:val="both"/>
      </w:pPr>
      <w:r>
        <w:t>招标代理机构和招标人保留在授标之前任何时候接受或拒绝任何投标，以及宣布招标程序无效或拒绝所有投标的权力，对受影响的投标人不承担任何责任，也无义务向受影响的投标人解释采取这一行动的理由。</w:t>
      </w:r>
    </w:p>
    <w:p>
      <w:pPr>
        <w:numPr>
          <w:ilvl w:val="0"/>
          <w:numId w:val="17"/>
        </w:numPr>
        <w:tabs>
          <w:tab w:val="left" w:pos="851"/>
        </w:tabs>
        <w:spacing w:line="460" w:lineRule="exact"/>
        <w:jc w:val="both"/>
        <w:rPr>
          <w:b/>
          <w:sz w:val="24"/>
        </w:rPr>
      </w:pPr>
      <w:r>
        <w:rPr>
          <w:b/>
          <w:sz w:val="24"/>
        </w:rPr>
        <w:t>中标通知书</w:t>
      </w:r>
    </w:p>
    <w:p>
      <w:pPr>
        <w:snapToGrid w:val="0"/>
        <w:spacing w:line="460" w:lineRule="exact"/>
        <w:ind w:left="840" w:leftChars="400" w:firstLine="0" w:firstLineChars="0"/>
        <w:jc w:val="both"/>
        <w:rPr>
          <w:rFonts w:hint="eastAsia" w:ascii="宋体" w:hAnsi="宋体"/>
          <w:highlight w:val="none"/>
        </w:rPr>
      </w:pPr>
      <w:r>
        <w:rPr>
          <w:kern w:val="28"/>
        </w:rPr>
        <w:t>中标人确定后，招标代理机构将在</w:t>
      </w:r>
      <w:r>
        <w:rPr>
          <w:rFonts w:hint="eastAsia" w:ascii="宋体" w:hAnsi="宋体"/>
          <w:highlight w:val="none"/>
        </w:rPr>
        <w:t>中国采购与招标网（https://www.chinabidding.cn/)</w:t>
      </w:r>
    </w:p>
    <w:p>
      <w:pPr>
        <w:snapToGrid w:val="0"/>
        <w:spacing w:line="460" w:lineRule="exact"/>
        <w:ind w:left="840" w:leftChars="400" w:firstLine="0" w:firstLineChars="0"/>
        <w:jc w:val="both"/>
        <w:rPr>
          <w:b/>
          <w:sz w:val="24"/>
        </w:rPr>
      </w:pPr>
      <w:r>
        <w:rPr>
          <w:rFonts w:hint="eastAsia" w:ascii="宋体" w:hAnsi="宋体"/>
          <w:highlight w:val="none"/>
        </w:rPr>
        <w:t>、中山市公共资源交易网（</w:t>
      </w:r>
      <w:r>
        <w:rPr>
          <w:rFonts w:hint="eastAsia" w:ascii="宋体" w:hAnsi="宋体"/>
          <w:highlight w:val="none"/>
          <w:lang w:eastAsia="zh-CN"/>
        </w:rPr>
        <w:t>http://ggzyjy.zs.gov.cn</w:t>
      </w:r>
      <w:r>
        <w:rPr>
          <w:rFonts w:hint="eastAsia" w:ascii="宋体" w:hAnsi="宋体"/>
          <w:highlight w:val="none"/>
        </w:rPr>
        <w:t>）、</w:t>
      </w:r>
      <w:r>
        <w:rPr>
          <w:rFonts w:hint="eastAsia" w:ascii="宋体" w:hAnsi="宋体"/>
          <w:highlight w:val="none"/>
          <w:lang w:eastAsia="zh-CN"/>
        </w:rPr>
        <w:t>广东钧信建设管理有限公司</w:t>
      </w:r>
      <w:r>
        <w:rPr>
          <w:rFonts w:hint="eastAsia" w:ascii="宋体" w:hAnsi="宋体"/>
          <w:szCs w:val="22"/>
          <w:highlight w:val="none"/>
          <w:lang w:eastAsia="zh-CN"/>
        </w:rPr>
        <w:t>(http://www.gdjxjl.com/)</w:t>
      </w:r>
      <w:r>
        <w:rPr>
          <w:kern w:val="28"/>
        </w:rPr>
        <w:t>公</w:t>
      </w:r>
      <w:r>
        <w:rPr>
          <w:rFonts w:hint="eastAsia"/>
          <w:kern w:val="28"/>
          <w:lang w:eastAsia="zh-CN"/>
        </w:rPr>
        <w:t>告中</w:t>
      </w:r>
      <w:r>
        <w:rPr>
          <w:kern w:val="28"/>
        </w:rPr>
        <w:t>标结果，并向中标人发出《中标通知书》，《中标通知书》对中标人和招标人具有同等法律效力。</w:t>
      </w:r>
    </w:p>
    <w:p>
      <w:pPr>
        <w:numPr>
          <w:ilvl w:val="0"/>
          <w:numId w:val="17"/>
        </w:numPr>
        <w:tabs>
          <w:tab w:val="left" w:pos="851"/>
        </w:tabs>
        <w:snapToGrid w:val="0"/>
        <w:spacing w:line="460" w:lineRule="exact"/>
        <w:jc w:val="both"/>
        <w:rPr>
          <w:b/>
          <w:sz w:val="24"/>
        </w:rPr>
      </w:pPr>
      <w:r>
        <w:rPr>
          <w:b/>
          <w:sz w:val="24"/>
        </w:rPr>
        <w:t>签订合同</w:t>
      </w:r>
    </w:p>
    <w:p>
      <w:pPr>
        <w:numPr>
          <w:ilvl w:val="0"/>
          <w:numId w:val="27"/>
        </w:numPr>
        <w:snapToGrid w:val="0"/>
        <w:spacing w:line="460" w:lineRule="exact"/>
        <w:ind w:left="630" w:leftChars="300" w:firstLine="0" w:firstLineChars="0"/>
        <w:jc w:val="both"/>
      </w:pPr>
      <w:r>
        <w:rPr>
          <w:rFonts w:hint="eastAsia"/>
          <w:lang w:val="en-US" w:eastAsia="zh-CN"/>
        </w:rPr>
        <w:t xml:space="preserve"> </w:t>
      </w:r>
      <w:r>
        <w:t>中标人在收到《中标通知书》后，应按照《中标通知书》指定的时间、地点，派遣其授权代表前往与招标人签署合同。</w:t>
      </w:r>
    </w:p>
    <w:p>
      <w:pPr>
        <w:numPr>
          <w:ilvl w:val="0"/>
          <w:numId w:val="27"/>
        </w:numPr>
        <w:snapToGrid w:val="0"/>
        <w:spacing w:line="460" w:lineRule="exact"/>
        <w:ind w:left="630" w:leftChars="300" w:firstLine="0" w:firstLineChars="0"/>
        <w:jc w:val="both"/>
      </w:pPr>
      <w:r>
        <w:rPr>
          <w:rFonts w:hint="eastAsia"/>
          <w:lang w:val="en-US" w:eastAsia="zh-CN"/>
        </w:rPr>
        <w:t xml:space="preserve"> </w:t>
      </w:r>
      <w:r>
        <w:t>中标人应当在收到招标人通知或者领取中标通知书之日起30日历天内与招标人签订合同。中标人不得以任何理由拖延、拒绝签订合同。如中标人没有在规定的时间内与招标人签订合同或者书面来函退出，则招标人视为该中标人放弃中标资格，并保留对其追究责任的权利。招标人有权将本项目重新组织招标或者根据评审情况推荐下一名候选人为中标人。</w:t>
      </w:r>
    </w:p>
    <w:p>
      <w:pPr>
        <w:numPr>
          <w:ilvl w:val="0"/>
          <w:numId w:val="17"/>
        </w:numPr>
        <w:tabs>
          <w:tab w:val="left" w:pos="851"/>
        </w:tabs>
        <w:snapToGrid w:val="0"/>
        <w:spacing w:line="460" w:lineRule="exact"/>
        <w:jc w:val="both"/>
        <w:rPr>
          <w:b/>
          <w:sz w:val="24"/>
        </w:rPr>
      </w:pPr>
      <w:r>
        <w:rPr>
          <w:b/>
          <w:sz w:val="24"/>
        </w:rPr>
        <w:t>合同的履行</w:t>
      </w:r>
    </w:p>
    <w:p>
      <w:pPr>
        <w:snapToGrid w:val="0"/>
        <w:spacing w:line="460" w:lineRule="exact"/>
        <w:ind w:left="630" w:leftChars="300" w:firstLine="0" w:firstLineChars="0"/>
        <w:jc w:val="both"/>
      </w:pPr>
      <w:r>
        <w:t>（1） 合同订立后，合同各方不得擅自变更、中止或者终止合同。合同需要变更的，招标人应将有关合同变更内容，以书面形式报监督管理机关备案；因特殊情况需要中止或终止合同的，招标人应将中止或终止合同的理由以及相应措施，以书面形式报监督管理机关备案。</w:t>
      </w:r>
    </w:p>
    <w:p>
      <w:pPr>
        <w:snapToGrid w:val="0"/>
        <w:spacing w:line="460" w:lineRule="exact"/>
        <w:ind w:left="630" w:leftChars="300" w:firstLine="0" w:firstLineChars="0"/>
        <w:jc w:val="both"/>
        <w:rPr>
          <w:highlight w:val="yellow"/>
        </w:rPr>
      </w:pPr>
      <w:r>
        <w:t>（2）合同履行中，招标人需追加与合同标的相同的服务的，在不改变合同其他条款的前提下，可以与服务商签订补充合同，但所补充合同的金额不得超过原标的金额的百分之十。</w:t>
      </w:r>
    </w:p>
    <w:p>
      <w:pPr>
        <w:snapToGrid w:val="0"/>
        <w:spacing w:line="460" w:lineRule="exact"/>
        <w:ind w:left="630" w:leftChars="300" w:firstLine="0" w:firstLineChars="0"/>
        <w:jc w:val="both"/>
        <w:rPr>
          <w:b/>
          <w:sz w:val="24"/>
        </w:rPr>
      </w:pPr>
      <w:r>
        <w:t>（3）中标人须按用户需求书的规定向招标人提交履约保证金。如果中标人不按规定向招标人提交履约担保，招标人将有充分的理由取消其中标资格并不予退还其投标保证金。</w:t>
      </w:r>
    </w:p>
    <w:p>
      <w:pPr>
        <w:numPr>
          <w:ilvl w:val="0"/>
          <w:numId w:val="17"/>
        </w:numPr>
        <w:tabs>
          <w:tab w:val="left" w:pos="851"/>
        </w:tabs>
        <w:snapToGrid w:val="0"/>
        <w:spacing w:line="460" w:lineRule="exact"/>
        <w:jc w:val="both"/>
        <w:rPr>
          <w:b/>
          <w:sz w:val="24"/>
        </w:rPr>
      </w:pPr>
      <w:r>
        <w:rPr>
          <w:b/>
          <w:sz w:val="24"/>
        </w:rPr>
        <w:t>中标服务费</w:t>
      </w:r>
    </w:p>
    <w:p>
      <w:pPr>
        <w:numPr>
          <w:ilvl w:val="1"/>
          <w:numId w:val="10"/>
        </w:numPr>
        <w:tabs>
          <w:tab w:val="left" w:pos="848"/>
        </w:tabs>
        <w:snapToGrid w:val="0"/>
        <w:spacing w:line="460" w:lineRule="exact"/>
        <w:ind w:left="848" w:hanging="848"/>
        <w:jc w:val="both"/>
        <w:rPr>
          <w:szCs w:val="21"/>
        </w:rPr>
      </w:pPr>
      <w:r>
        <w:rPr>
          <w:rFonts w:hint="eastAsia"/>
          <w:szCs w:val="21"/>
        </w:rPr>
        <w:t>中标人应在收取《中标通知书》时向采购代理机构交纳中标服务费，本项目专家评委的评审费用由中标单位支付（金额以评委领取评标费签名表格为准）。中标服务费的收费标准按国家计委颁发的计价格【2002】1980号文及发改价格</w:t>
      </w:r>
      <w:r>
        <w:rPr>
          <w:szCs w:val="21"/>
        </w:rPr>
        <w:t>[2011]534号文的</w:t>
      </w:r>
      <w:r>
        <w:rPr>
          <w:rFonts w:hint="eastAsia"/>
          <w:szCs w:val="21"/>
        </w:rPr>
        <w:t>规定按差额定率累进法计算，收费标准如下表所列：</w:t>
      </w:r>
    </w:p>
    <w:tbl>
      <w:tblPr>
        <w:tblStyle w:val="47"/>
        <w:tblW w:w="874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48"/>
        <w:gridCol w:w="2281"/>
        <w:gridCol w:w="2059"/>
        <w:gridCol w:w="20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348" w:type="dxa"/>
            <w:tcBorders>
              <w:top w:val="double" w:color="auto" w:sz="4" w:space="0"/>
              <w:left w:val="double" w:color="auto" w:sz="4"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中介预算金额（万元）</w:t>
            </w:r>
          </w:p>
        </w:tc>
        <w:tc>
          <w:tcPr>
            <w:tcW w:w="2281"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货物招标收费费率</w:t>
            </w:r>
          </w:p>
        </w:tc>
        <w:tc>
          <w:tcPr>
            <w:tcW w:w="2059"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服务招标收费费率</w:t>
            </w:r>
          </w:p>
        </w:tc>
        <w:tc>
          <w:tcPr>
            <w:tcW w:w="2059" w:type="dxa"/>
            <w:tcBorders>
              <w:top w:val="double" w:color="auto" w:sz="4" w:space="0"/>
              <w:left w:val="single" w:color="auto" w:sz="6" w:space="0"/>
              <w:bottom w:val="single" w:color="auto" w:sz="6" w:space="0"/>
              <w:right w:val="double" w:color="auto" w:sz="4" w:space="0"/>
            </w:tcBorders>
            <w:shd w:val="clear" w:color="auto" w:fill="D9D9D9"/>
            <w:vAlign w:val="center"/>
          </w:tcPr>
          <w:p>
            <w:pPr>
              <w:tabs>
                <w:tab w:val="left" w:pos="756"/>
                <w:tab w:val="left" w:pos="848"/>
              </w:tabs>
              <w:snapToGrid w:val="0"/>
              <w:spacing w:line="460" w:lineRule="exact"/>
              <w:jc w:val="both"/>
              <w:rPr>
                <w:szCs w:val="21"/>
              </w:rPr>
            </w:pPr>
            <w:r>
              <w:rPr>
                <w:rFonts w:hint="eastAsia"/>
                <w:szCs w:val="21"/>
              </w:rPr>
              <w:t>工程招标收费费率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100以下</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1.5%</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1.5%</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348" w:type="dxa"/>
            <w:tcBorders>
              <w:top w:val="single" w:color="auto" w:sz="6" w:space="0"/>
              <w:left w:val="double" w:color="auto" w:sz="4"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100-500</w:t>
            </w:r>
          </w:p>
        </w:tc>
        <w:tc>
          <w:tcPr>
            <w:tcW w:w="2281"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1.10%</w:t>
            </w:r>
          </w:p>
        </w:tc>
        <w:tc>
          <w:tcPr>
            <w:tcW w:w="2059" w:type="dxa"/>
            <w:tcBorders>
              <w:top w:val="single" w:color="auto" w:sz="6" w:space="0"/>
              <w:left w:val="single" w:color="auto" w:sz="6" w:space="0"/>
              <w:bottom w:val="single" w:color="auto" w:sz="6" w:space="0"/>
              <w:right w:val="single" w:color="auto" w:sz="6" w:space="0"/>
            </w:tcBorders>
            <w:vAlign w:val="top"/>
          </w:tcPr>
          <w:p>
            <w:pPr>
              <w:tabs>
                <w:tab w:val="left" w:pos="756"/>
                <w:tab w:val="left" w:pos="848"/>
              </w:tabs>
              <w:snapToGrid w:val="0"/>
              <w:spacing w:line="460" w:lineRule="exact"/>
              <w:jc w:val="center"/>
              <w:rPr>
                <w:szCs w:val="21"/>
              </w:rPr>
            </w:pPr>
            <w:r>
              <w:rPr>
                <w:rFonts w:hint="eastAsia"/>
                <w:szCs w:val="21"/>
              </w:rPr>
              <w:t>0.8%</w:t>
            </w:r>
          </w:p>
        </w:tc>
        <w:tc>
          <w:tcPr>
            <w:tcW w:w="2059" w:type="dxa"/>
            <w:tcBorders>
              <w:top w:val="single" w:color="auto" w:sz="6" w:space="0"/>
              <w:left w:val="single" w:color="auto" w:sz="6" w:space="0"/>
              <w:bottom w:val="single" w:color="auto" w:sz="6" w:space="0"/>
              <w:right w:val="double" w:color="auto" w:sz="4" w:space="0"/>
            </w:tcBorders>
            <w:vAlign w:val="top"/>
          </w:tcPr>
          <w:p>
            <w:pPr>
              <w:tabs>
                <w:tab w:val="left" w:pos="756"/>
                <w:tab w:val="left" w:pos="848"/>
              </w:tabs>
              <w:snapToGrid w:val="0"/>
              <w:spacing w:line="460" w:lineRule="exact"/>
              <w:jc w:val="center"/>
              <w:rPr>
                <w:szCs w:val="21"/>
              </w:rPr>
            </w:pPr>
            <w:r>
              <w:rPr>
                <w:rFonts w:hint="eastAsia"/>
                <w:szCs w:val="21"/>
              </w:rPr>
              <w:t>0.7%</w:t>
            </w:r>
          </w:p>
        </w:tc>
      </w:tr>
    </w:tbl>
    <w:p>
      <w:pPr>
        <w:pStyle w:val="23"/>
        <w:adjustRightInd w:val="0"/>
        <w:snapToGrid w:val="0"/>
        <w:spacing w:line="360" w:lineRule="auto"/>
        <w:ind w:left="370" w:leftChars="176" w:firstLine="420" w:firstLineChars="200"/>
        <w:rPr>
          <w:rFonts w:hint="eastAsia" w:ascii="Times New Roman"/>
          <w:szCs w:val="24"/>
        </w:rPr>
      </w:pPr>
    </w:p>
    <w:p>
      <w:pPr>
        <w:pStyle w:val="23"/>
        <w:adjustRightInd w:val="0"/>
        <w:snapToGrid w:val="0"/>
        <w:spacing w:line="360" w:lineRule="auto"/>
        <w:ind w:left="370" w:leftChars="176" w:firstLine="420" w:firstLineChars="200"/>
        <w:rPr>
          <w:rFonts w:ascii="Times New Roman"/>
          <w:szCs w:val="24"/>
        </w:rPr>
      </w:pPr>
      <w:r>
        <w:rPr>
          <w:rFonts w:hint="eastAsia" w:ascii="Times New Roman"/>
          <w:szCs w:val="24"/>
        </w:rPr>
        <w:t>例如：某服务招标代理业务中标金额为</w:t>
      </w:r>
      <w:r>
        <w:rPr>
          <w:rFonts w:ascii="Times New Roman"/>
          <w:szCs w:val="24"/>
        </w:rPr>
        <w:t>400</w:t>
      </w:r>
      <w:r>
        <w:rPr>
          <w:rFonts w:hint="eastAsia" w:ascii="Times New Roman"/>
          <w:szCs w:val="24"/>
        </w:rPr>
        <w:t>万元，计算招标代理服务费收费额如下：</w:t>
      </w:r>
    </w:p>
    <w:p>
      <w:pPr>
        <w:pStyle w:val="23"/>
        <w:adjustRightInd w:val="0"/>
        <w:snapToGrid w:val="0"/>
        <w:spacing w:line="360" w:lineRule="auto"/>
        <w:ind w:left="420" w:hanging="420"/>
        <w:rPr>
          <w:rFonts w:ascii="Times New Roman"/>
          <w:szCs w:val="24"/>
        </w:rPr>
      </w:pPr>
      <w:r>
        <w:rPr>
          <w:rFonts w:ascii="Times New Roman"/>
          <w:szCs w:val="24"/>
        </w:rPr>
        <w:t xml:space="preserve">          </w:t>
      </w:r>
      <w:r>
        <w:rPr>
          <w:rFonts w:hint="eastAsia" w:ascii="Times New Roman"/>
          <w:szCs w:val="24"/>
        </w:rPr>
        <w:t xml:space="preserve">                   </w:t>
      </w:r>
      <w:r>
        <w:rPr>
          <w:rFonts w:ascii="Times New Roman"/>
          <w:szCs w:val="24"/>
        </w:rPr>
        <w:t xml:space="preserve"> </w:t>
      </w:r>
      <w:r>
        <w:rPr>
          <w:rFonts w:hint="eastAsia" w:ascii="Times New Roman"/>
          <w:szCs w:val="24"/>
        </w:rPr>
        <w:t xml:space="preserve"> </w:t>
      </w:r>
      <w:r>
        <w:rPr>
          <w:rFonts w:ascii="Times New Roman"/>
          <w:szCs w:val="24"/>
        </w:rPr>
        <w:t>100</w:t>
      </w:r>
      <w:r>
        <w:rPr>
          <w:rFonts w:hint="eastAsia" w:ascii="Times New Roman"/>
          <w:szCs w:val="24"/>
        </w:rPr>
        <w:t>万元×</w:t>
      </w:r>
      <w:r>
        <w:rPr>
          <w:rFonts w:ascii="Times New Roman"/>
          <w:szCs w:val="24"/>
        </w:rPr>
        <w:t>1.5</w:t>
      </w:r>
      <w:r>
        <w:rPr>
          <w:rFonts w:hint="eastAsia" w:ascii="Times New Roman"/>
          <w:szCs w:val="24"/>
        </w:rPr>
        <w:t>％＝</w:t>
      </w:r>
      <w:r>
        <w:rPr>
          <w:rFonts w:ascii="Times New Roman"/>
          <w:szCs w:val="24"/>
        </w:rPr>
        <w:t>1.5</w:t>
      </w:r>
      <w:r>
        <w:rPr>
          <w:rFonts w:hint="eastAsia" w:ascii="Times New Roman"/>
          <w:szCs w:val="24"/>
        </w:rPr>
        <w:t>万元</w:t>
      </w:r>
    </w:p>
    <w:p>
      <w:pPr>
        <w:pStyle w:val="23"/>
        <w:adjustRightInd w:val="0"/>
        <w:snapToGrid w:val="0"/>
        <w:spacing w:line="360" w:lineRule="auto"/>
        <w:ind w:left="420" w:hanging="420"/>
        <w:rPr>
          <w:rFonts w:ascii="Times New Roman"/>
          <w:szCs w:val="24"/>
        </w:rPr>
      </w:pPr>
      <w:r>
        <w:rPr>
          <w:rFonts w:ascii="Times New Roman"/>
          <w:szCs w:val="24"/>
        </w:rPr>
        <w:t xml:space="preserve">          </w:t>
      </w:r>
      <w:r>
        <w:rPr>
          <w:rFonts w:hint="eastAsia" w:ascii="Times New Roman"/>
          <w:szCs w:val="24"/>
        </w:rPr>
        <w:t xml:space="preserve">                   （</w:t>
      </w:r>
      <w:r>
        <w:rPr>
          <w:rFonts w:ascii="Times New Roman"/>
          <w:szCs w:val="24"/>
        </w:rPr>
        <w:t>400</w:t>
      </w:r>
      <w:r>
        <w:rPr>
          <w:rFonts w:hint="eastAsia" w:ascii="Times New Roman"/>
          <w:szCs w:val="24"/>
        </w:rPr>
        <w:t>－</w:t>
      </w:r>
      <w:r>
        <w:rPr>
          <w:rFonts w:ascii="Times New Roman"/>
          <w:szCs w:val="24"/>
        </w:rPr>
        <w:t>100</w:t>
      </w:r>
      <w:r>
        <w:rPr>
          <w:rFonts w:hint="eastAsia" w:ascii="Times New Roman"/>
          <w:szCs w:val="24"/>
        </w:rPr>
        <w:t>）万元×</w:t>
      </w:r>
      <w:r>
        <w:rPr>
          <w:rFonts w:ascii="Times New Roman"/>
          <w:szCs w:val="24"/>
        </w:rPr>
        <w:t>1.1</w:t>
      </w:r>
      <w:r>
        <w:rPr>
          <w:rFonts w:hint="eastAsia" w:ascii="Times New Roman"/>
          <w:szCs w:val="24"/>
        </w:rPr>
        <w:t>％＝</w:t>
      </w:r>
      <w:r>
        <w:rPr>
          <w:rFonts w:ascii="Times New Roman"/>
          <w:szCs w:val="24"/>
        </w:rPr>
        <w:t>3.3</w:t>
      </w:r>
      <w:r>
        <w:rPr>
          <w:rFonts w:hint="eastAsia" w:ascii="Times New Roman"/>
          <w:szCs w:val="24"/>
        </w:rPr>
        <w:t>万元</w:t>
      </w:r>
    </w:p>
    <w:p>
      <w:pPr>
        <w:pStyle w:val="23"/>
        <w:adjustRightInd w:val="0"/>
        <w:snapToGrid w:val="0"/>
        <w:spacing w:line="360" w:lineRule="auto"/>
        <w:ind w:left="370" w:leftChars="176" w:firstLine="1260" w:firstLineChars="600"/>
        <w:rPr>
          <w:rFonts w:ascii="Times New Roman"/>
          <w:szCs w:val="24"/>
        </w:rPr>
      </w:pPr>
      <w:r>
        <w:rPr>
          <w:rFonts w:hint="eastAsia"/>
          <w:szCs w:val="24"/>
        </w:rPr>
        <w:t>合计收费＝</w:t>
      </w:r>
      <w:r>
        <w:rPr>
          <w:szCs w:val="24"/>
        </w:rPr>
        <w:t>1.5</w:t>
      </w:r>
      <w:r>
        <w:rPr>
          <w:rFonts w:hint="eastAsia"/>
          <w:szCs w:val="24"/>
        </w:rPr>
        <w:t>＋</w:t>
      </w:r>
      <w:r>
        <w:rPr>
          <w:szCs w:val="24"/>
        </w:rPr>
        <w:t>3.3</w:t>
      </w:r>
      <w:r>
        <w:rPr>
          <w:rFonts w:hint="eastAsia"/>
          <w:szCs w:val="24"/>
        </w:rPr>
        <w:t>＝</w:t>
      </w:r>
      <w:r>
        <w:rPr>
          <w:szCs w:val="24"/>
        </w:rPr>
        <w:t>4.8</w:t>
      </w:r>
      <w:r>
        <w:rPr>
          <w:rFonts w:hint="eastAsia"/>
          <w:szCs w:val="24"/>
        </w:rPr>
        <w:t>万元</w:t>
      </w:r>
    </w:p>
    <w:p>
      <w:pPr>
        <w:numPr>
          <w:ilvl w:val="1"/>
          <w:numId w:val="28"/>
        </w:numPr>
        <w:tabs>
          <w:tab w:val="left" w:pos="0"/>
          <w:tab w:val="left" w:pos="926"/>
          <w:tab w:val="clear" w:pos="1860"/>
        </w:tabs>
        <w:snapToGrid w:val="0"/>
        <w:spacing w:line="360" w:lineRule="auto"/>
        <w:ind w:left="0" w:firstLine="0"/>
        <w:rPr>
          <w:szCs w:val="21"/>
        </w:rPr>
      </w:pPr>
      <w:r>
        <w:rPr>
          <w:rFonts w:hint="eastAsia"/>
          <w:szCs w:val="21"/>
        </w:rPr>
        <w:t>中标服务费的货币为人民币。</w:t>
      </w:r>
    </w:p>
    <w:p>
      <w:pPr>
        <w:numPr>
          <w:ilvl w:val="1"/>
          <w:numId w:val="28"/>
        </w:numPr>
        <w:tabs>
          <w:tab w:val="left" w:pos="284"/>
          <w:tab w:val="left" w:pos="926"/>
          <w:tab w:val="clear" w:pos="1860"/>
        </w:tabs>
        <w:snapToGrid w:val="0"/>
        <w:spacing w:line="360" w:lineRule="auto"/>
        <w:ind w:left="0" w:hanging="17"/>
        <w:rPr>
          <w:szCs w:val="21"/>
        </w:rPr>
      </w:pPr>
      <w:r>
        <w:rPr>
          <w:rFonts w:hint="eastAsia"/>
          <w:szCs w:val="21"/>
        </w:rPr>
        <w:t>本项目专家评委的评审费用由中标单位支付（金额以评委领取评标费签名表格为准）。</w:t>
      </w:r>
    </w:p>
    <w:p>
      <w:pPr>
        <w:tabs>
          <w:tab w:val="left" w:pos="926"/>
        </w:tabs>
        <w:snapToGrid w:val="0"/>
        <w:spacing w:line="360" w:lineRule="auto"/>
        <w:ind w:left="840" w:hanging="840" w:hangingChars="400"/>
        <w:rPr>
          <w:szCs w:val="21"/>
        </w:rPr>
      </w:pPr>
      <w:r>
        <w:rPr>
          <w:rFonts w:hint="eastAsia"/>
          <w:szCs w:val="21"/>
        </w:rPr>
        <w:t>（3）       中标服务费支付方式：由中标单位在领取中标通知书前一次性以银行转账或现金的形式支付。</w:t>
      </w:r>
    </w:p>
    <w:p>
      <w:pPr>
        <w:tabs>
          <w:tab w:val="left" w:pos="926"/>
        </w:tabs>
        <w:snapToGrid w:val="0"/>
        <w:spacing w:line="360" w:lineRule="auto"/>
        <w:rPr>
          <w:szCs w:val="21"/>
        </w:rPr>
      </w:pPr>
      <w:r>
        <w:rPr>
          <w:rFonts w:hint="eastAsia"/>
          <w:szCs w:val="21"/>
        </w:rPr>
        <w:t>（4）       中标服务费以银行划账方式按下列要求提交：</w:t>
      </w:r>
    </w:p>
    <w:p>
      <w:pPr>
        <w:spacing w:line="312" w:lineRule="auto"/>
        <w:ind w:firstLine="945" w:firstLineChars="450"/>
        <w:rPr>
          <w:szCs w:val="21"/>
        </w:rPr>
      </w:pPr>
      <w:r>
        <w:rPr>
          <w:rFonts w:hint="eastAsia"/>
          <w:szCs w:val="21"/>
        </w:rPr>
        <w:t>开户银行：</w:t>
      </w:r>
      <w:r>
        <w:rPr>
          <w:rFonts w:hint="eastAsia" w:ascii="宋体"/>
          <w:color w:val="auto"/>
          <w:szCs w:val="21"/>
          <w:highlight w:val="none"/>
          <w:lang w:eastAsia="zh-CN"/>
        </w:rPr>
        <w:t>中国建设银行股分有限公司中山城区支行</w:t>
      </w:r>
    </w:p>
    <w:p>
      <w:pPr>
        <w:spacing w:line="312" w:lineRule="auto"/>
        <w:ind w:firstLine="945" w:firstLineChars="450"/>
        <w:rPr>
          <w:szCs w:val="21"/>
        </w:rPr>
      </w:pPr>
      <w:r>
        <w:rPr>
          <w:rFonts w:hint="eastAsia"/>
          <w:szCs w:val="21"/>
        </w:rPr>
        <w:t>银行账号：</w:t>
      </w:r>
      <w:r>
        <w:rPr>
          <w:rFonts w:hint="eastAsia" w:ascii="宋体"/>
          <w:color w:val="auto"/>
          <w:szCs w:val="21"/>
          <w:highlight w:val="none"/>
          <w:lang w:val="en-US" w:eastAsia="zh-CN"/>
        </w:rPr>
        <w:t>4405 0178 0302 0000 0081</w:t>
      </w:r>
    </w:p>
    <w:p>
      <w:pPr>
        <w:snapToGrid w:val="0"/>
        <w:spacing w:line="360" w:lineRule="auto"/>
        <w:ind w:firstLine="945" w:firstLineChars="450"/>
        <w:rPr>
          <w:rFonts w:hint="eastAsia" w:eastAsia="宋体"/>
          <w:b/>
          <w:szCs w:val="21"/>
          <w:lang w:eastAsia="zh-CN"/>
        </w:rPr>
      </w:pPr>
      <w:r>
        <w:rPr>
          <w:rFonts w:hint="eastAsia"/>
          <w:szCs w:val="21"/>
        </w:rPr>
        <w:t>账户名称：</w:t>
      </w:r>
      <w:r>
        <w:rPr>
          <w:rFonts w:hint="eastAsia"/>
          <w:kern w:val="28"/>
          <w:szCs w:val="21"/>
          <w:lang w:eastAsia="zh-CN"/>
        </w:rPr>
        <w:t>广东钧信建设管理有限公司中山分公司</w:t>
      </w:r>
    </w:p>
    <w:p>
      <w:pPr>
        <w:tabs>
          <w:tab w:val="left" w:pos="926"/>
        </w:tabs>
        <w:snapToGrid w:val="0"/>
        <w:spacing w:line="460" w:lineRule="exact"/>
        <w:ind w:left="840" w:hanging="840" w:hangingChars="400"/>
        <w:rPr>
          <w:szCs w:val="21"/>
        </w:rPr>
      </w:pPr>
      <w:r>
        <w:rPr>
          <w:rFonts w:hint="eastAsia"/>
          <w:szCs w:val="21"/>
        </w:rPr>
        <w:t>（5）      中标服务费支付时间：中标服务费必须在中标人领取《中标通知书》时一次性付清，如果中标人未能按时交纳中标服务费，采购代理机构/采购人保留取消其中标资格并追究其法律责任的权利。</w:t>
      </w:r>
    </w:p>
    <w:p>
      <w:pPr>
        <w:tabs>
          <w:tab w:val="left" w:pos="848"/>
        </w:tabs>
        <w:snapToGrid w:val="0"/>
        <w:spacing w:line="460" w:lineRule="exact"/>
        <w:rPr>
          <w:b/>
          <w:sz w:val="24"/>
        </w:rPr>
      </w:pPr>
      <w:r>
        <w:rPr>
          <w:rFonts w:hint="eastAsia"/>
          <w:szCs w:val="21"/>
        </w:rPr>
        <w:t>（6）      中标服务费不在投标报价中单列。</w:t>
      </w:r>
    </w:p>
    <w:p>
      <w:pPr>
        <w:numPr>
          <w:ilvl w:val="0"/>
          <w:numId w:val="17"/>
        </w:numPr>
        <w:tabs>
          <w:tab w:val="left" w:pos="851"/>
        </w:tabs>
        <w:snapToGrid w:val="0"/>
        <w:spacing w:line="460" w:lineRule="exact"/>
        <w:jc w:val="both"/>
        <w:rPr>
          <w:b/>
          <w:sz w:val="24"/>
        </w:rPr>
      </w:pPr>
      <w:r>
        <w:rPr>
          <w:b/>
          <w:sz w:val="24"/>
        </w:rPr>
        <w:t>招标文件的解释权</w:t>
      </w:r>
    </w:p>
    <w:p>
      <w:pPr>
        <w:snapToGrid w:val="0"/>
        <w:spacing w:line="460" w:lineRule="exact"/>
        <w:ind w:firstLine="846" w:firstLineChars="403"/>
        <w:jc w:val="both"/>
        <w:rPr>
          <w:b/>
          <w:sz w:val="24"/>
        </w:rPr>
      </w:pPr>
      <w:r>
        <w:rPr>
          <w:szCs w:val="21"/>
        </w:rPr>
        <w:t>本招标文件的解释权归</w:t>
      </w:r>
      <w:r>
        <w:rPr>
          <w:rFonts w:hint="eastAsia"/>
          <w:szCs w:val="21"/>
          <w:lang w:eastAsia="zh-CN"/>
        </w:rPr>
        <w:t>广东钧信建设管理有限公司中山分公司</w:t>
      </w:r>
      <w:r>
        <w:rPr>
          <w:szCs w:val="21"/>
        </w:rPr>
        <w:t>所有。</w:t>
      </w:r>
    </w:p>
    <w:p>
      <w:pPr>
        <w:snapToGrid w:val="0"/>
        <w:spacing w:line="460" w:lineRule="exact"/>
        <w:rPr>
          <w:b/>
          <w:sz w:val="24"/>
        </w:rPr>
        <w:sectPr>
          <w:footerReference r:id="rId5" w:type="first"/>
          <w:headerReference r:id="rId3" w:type="default"/>
          <w:footerReference r:id="rId4" w:type="default"/>
          <w:pgSz w:w="11907" w:h="16840"/>
          <w:pgMar w:top="1417" w:right="1417" w:bottom="1417" w:left="1417" w:header="794" w:footer="794" w:gutter="0"/>
          <w:cols w:space="0" w:num="1"/>
          <w:titlePg/>
          <w:rtlGutter w:val="0"/>
          <w:docGrid w:linePitch="286" w:charSpace="0"/>
        </w:sectPr>
      </w:pPr>
    </w:p>
    <w:p>
      <w:pPr>
        <w:ind w:right="191" w:rightChars="91"/>
        <w:rPr>
          <w:szCs w:val="21"/>
        </w:rPr>
      </w:pPr>
      <w:r>
        <w:rPr>
          <w:szCs w:val="21"/>
        </w:rPr>
        <w:t>附表3-1：</w:t>
      </w:r>
    </w:p>
    <w:p>
      <w:pPr>
        <w:spacing w:line="360" w:lineRule="auto"/>
        <w:ind w:right="191" w:rightChars="91"/>
        <w:jc w:val="center"/>
        <w:rPr>
          <w:b/>
          <w:bCs/>
          <w:sz w:val="32"/>
          <w:szCs w:val="32"/>
          <w:u w:val="single"/>
        </w:rPr>
      </w:pPr>
      <w:r>
        <w:rPr>
          <w:b/>
          <w:bCs/>
          <w:sz w:val="32"/>
          <w:szCs w:val="32"/>
          <w:u w:val="single"/>
        </w:rPr>
        <w:t>初 步 审 查 表</w:t>
      </w:r>
    </w:p>
    <w:tbl>
      <w:tblPr>
        <w:tblStyle w:val="47"/>
        <w:tblW w:w="141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7005"/>
        <w:gridCol w:w="2165"/>
        <w:gridCol w:w="216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60" w:type="dxa"/>
            <w:tcBorders>
              <w:top w:val="single" w:color="auto" w:sz="8" w:space="0"/>
              <w:left w:val="single" w:color="auto" w:sz="8" w:space="0"/>
              <w:bottom w:val="single" w:color="auto" w:sz="4" w:space="0"/>
              <w:right w:val="single" w:color="auto" w:sz="4" w:space="0"/>
            </w:tcBorders>
            <w:vAlign w:val="center"/>
          </w:tcPr>
          <w:p>
            <w:pPr>
              <w:rPr>
                <w:bCs/>
                <w:color w:val="000000"/>
              </w:rPr>
            </w:pPr>
            <w:r>
              <w:rPr>
                <w:bCs/>
                <w:color w:val="000000"/>
              </w:rPr>
              <w:t>　</w:t>
            </w:r>
          </w:p>
        </w:tc>
        <w:tc>
          <w:tcPr>
            <w:tcW w:w="700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投标单位序号</w:t>
            </w:r>
          </w:p>
        </w:tc>
        <w:tc>
          <w:tcPr>
            <w:tcW w:w="216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1</w:t>
            </w:r>
          </w:p>
        </w:tc>
        <w:tc>
          <w:tcPr>
            <w:tcW w:w="2165" w:type="dxa"/>
            <w:tcBorders>
              <w:top w:val="single" w:color="auto" w:sz="8" w:space="0"/>
              <w:left w:val="nil"/>
              <w:bottom w:val="single" w:color="auto" w:sz="4" w:space="0"/>
              <w:right w:val="single" w:color="auto" w:sz="4" w:space="0"/>
            </w:tcBorders>
            <w:vAlign w:val="center"/>
          </w:tcPr>
          <w:p>
            <w:pPr>
              <w:jc w:val="center"/>
              <w:rPr>
                <w:color w:val="000000"/>
              </w:rPr>
            </w:pPr>
            <w:r>
              <w:rPr>
                <w:color w:val="000000"/>
              </w:rPr>
              <w:t>2</w:t>
            </w:r>
          </w:p>
        </w:tc>
        <w:tc>
          <w:tcPr>
            <w:tcW w:w="2165" w:type="dxa"/>
            <w:tcBorders>
              <w:top w:val="single" w:color="auto" w:sz="8" w:space="0"/>
              <w:left w:val="nil"/>
              <w:bottom w:val="single" w:color="auto" w:sz="4" w:space="0"/>
              <w:right w:val="single" w:color="auto" w:sz="8" w:space="0"/>
            </w:tcBorders>
            <w:vAlign w:val="center"/>
          </w:tcPr>
          <w:p>
            <w:pPr>
              <w:jc w:val="center"/>
              <w:rPr>
                <w:color w:val="000000"/>
              </w:rPr>
            </w:pPr>
            <w:r>
              <w:rPr>
                <w:color w:val="00000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0" w:type="dxa"/>
            <w:vMerge w:val="restart"/>
            <w:tcBorders>
              <w:top w:val="nil"/>
              <w:left w:val="single" w:color="auto" w:sz="8" w:space="0"/>
              <w:bottom w:val="single" w:color="000000" w:sz="4" w:space="0"/>
              <w:right w:val="single" w:color="auto" w:sz="4" w:space="0"/>
            </w:tcBorders>
            <w:vAlign w:val="center"/>
          </w:tcPr>
          <w:p>
            <w:pPr>
              <w:jc w:val="center"/>
              <w:rPr>
                <w:color w:val="000000"/>
                <w:sz w:val="18"/>
                <w:szCs w:val="18"/>
              </w:rPr>
            </w:pPr>
            <w:r>
              <w:rPr>
                <w:color w:val="000000"/>
                <w:sz w:val="18"/>
                <w:szCs w:val="18"/>
              </w:rPr>
              <w:t>序号</w:t>
            </w:r>
          </w:p>
        </w:tc>
        <w:tc>
          <w:tcPr>
            <w:tcW w:w="7005" w:type="dxa"/>
            <w:vMerge w:val="restart"/>
            <w:tcBorders>
              <w:top w:val="nil"/>
              <w:left w:val="nil"/>
              <w:bottom w:val="nil"/>
              <w:right w:val="single" w:color="auto" w:sz="4" w:space="0"/>
              <w:tl2br w:val="single" w:color="auto" w:sz="4" w:space="0"/>
            </w:tcBorders>
            <w:vAlign w:val="top"/>
          </w:tcPr>
          <w:p>
            <w:pPr>
              <w:ind w:firstLine="3600" w:firstLineChars="2000"/>
              <w:jc w:val="both"/>
              <w:rPr>
                <w:color w:val="000000"/>
                <w:sz w:val="18"/>
                <w:szCs w:val="18"/>
              </w:rPr>
            </w:pPr>
            <w:r>
              <w:rPr>
                <w:color w:val="000000"/>
                <w:sz w:val="18"/>
                <w:szCs w:val="18"/>
              </w:rPr>
              <w:t xml:space="preserve">投标单位     </w:t>
            </w:r>
          </w:p>
          <w:p>
            <w:pPr>
              <w:jc w:val="both"/>
              <w:rPr>
                <w:color w:val="000000"/>
                <w:sz w:val="18"/>
                <w:szCs w:val="18"/>
              </w:rPr>
            </w:pPr>
          </w:p>
          <w:p>
            <w:pPr>
              <w:jc w:val="both"/>
              <w:rPr>
                <w:color w:val="000000"/>
                <w:sz w:val="18"/>
                <w:szCs w:val="18"/>
              </w:rPr>
            </w:pPr>
            <w:r>
              <w:rPr>
                <w:color w:val="000000"/>
                <w:sz w:val="18"/>
                <w:szCs w:val="18"/>
              </w:rPr>
              <w:t>审查内容</w:t>
            </w:r>
          </w:p>
        </w:tc>
        <w:tc>
          <w:tcPr>
            <w:tcW w:w="2165" w:type="dxa"/>
            <w:tcBorders>
              <w:top w:val="nil"/>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投标单位一</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r>
              <w:rPr>
                <w:color w:val="000000"/>
                <w:sz w:val="18"/>
                <w:szCs w:val="18"/>
              </w:rPr>
              <w:t>投标单位二</w:t>
            </w:r>
          </w:p>
        </w:tc>
        <w:tc>
          <w:tcPr>
            <w:tcW w:w="2165" w:type="dxa"/>
            <w:tcBorders>
              <w:top w:val="nil"/>
              <w:left w:val="nil"/>
              <w:bottom w:val="single" w:color="auto" w:sz="4" w:space="0"/>
              <w:right w:val="single" w:color="auto" w:sz="8" w:space="0"/>
            </w:tcBorders>
            <w:vAlign w:val="center"/>
          </w:tcPr>
          <w:p>
            <w:pPr>
              <w:jc w:val="center"/>
              <w:rPr>
                <w:color w:val="000000"/>
                <w:sz w:val="18"/>
                <w:szCs w:val="18"/>
              </w:rPr>
            </w:pPr>
            <w:r>
              <w:rPr>
                <w:color w:val="000000"/>
                <w:sz w:val="18"/>
                <w:szCs w:val="18"/>
              </w:rPr>
              <w:t>投标单位三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60" w:type="dxa"/>
            <w:vMerge w:val="continue"/>
            <w:tcBorders>
              <w:top w:val="nil"/>
              <w:left w:val="single" w:color="auto" w:sz="8" w:space="0"/>
              <w:bottom w:val="single" w:color="000000" w:sz="4" w:space="0"/>
              <w:right w:val="single" w:color="auto" w:sz="4" w:space="0"/>
            </w:tcBorders>
            <w:vAlign w:val="center"/>
          </w:tcPr>
          <w:p>
            <w:pPr>
              <w:rPr>
                <w:color w:val="000000"/>
              </w:rPr>
            </w:pPr>
          </w:p>
        </w:tc>
        <w:tc>
          <w:tcPr>
            <w:tcW w:w="7005" w:type="dxa"/>
            <w:vMerge w:val="continue"/>
            <w:tcBorders>
              <w:top w:val="nil"/>
              <w:left w:val="nil"/>
              <w:bottom w:val="nil"/>
              <w:right w:val="single" w:color="auto" w:sz="4" w:space="0"/>
            </w:tcBorders>
            <w:vAlign w:val="center"/>
          </w:tcPr>
          <w:p>
            <w:pPr>
              <w:rPr>
                <w:color w:val="000000"/>
              </w:rPr>
            </w:pPr>
          </w:p>
        </w:tc>
        <w:tc>
          <w:tcPr>
            <w:tcW w:w="2165" w:type="dxa"/>
            <w:tcBorders>
              <w:top w:val="nil"/>
              <w:left w:val="single" w:color="auto" w:sz="4" w:space="0"/>
              <w:bottom w:val="single" w:color="auto" w:sz="4" w:space="0"/>
              <w:right w:val="single" w:color="auto" w:sz="4" w:space="0"/>
            </w:tcBorders>
            <w:vAlign w:val="center"/>
          </w:tcPr>
          <w:p>
            <w:pPr>
              <w:jc w:val="center"/>
              <w:rPr>
                <w:color w:val="000000"/>
                <w:sz w:val="20"/>
              </w:rPr>
            </w:pPr>
            <w:r>
              <w:rPr>
                <w:color w:val="000000"/>
                <w:sz w:val="20"/>
              </w:rPr>
              <w:t>检查情况</w:t>
            </w:r>
          </w:p>
        </w:tc>
        <w:tc>
          <w:tcPr>
            <w:tcW w:w="2165" w:type="dxa"/>
            <w:tcBorders>
              <w:top w:val="nil"/>
              <w:left w:val="nil"/>
              <w:bottom w:val="single" w:color="auto" w:sz="4" w:space="0"/>
              <w:right w:val="single" w:color="auto" w:sz="4" w:space="0"/>
            </w:tcBorders>
            <w:vAlign w:val="center"/>
          </w:tcPr>
          <w:p>
            <w:pPr>
              <w:jc w:val="center"/>
              <w:rPr>
                <w:color w:val="000000"/>
                <w:sz w:val="20"/>
              </w:rPr>
            </w:pPr>
            <w:r>
              <w:rPr>
                <w:color w:val="000000"/>
                <w:sz w:val="20"/>
              </w:rPr>
              <w:t>检查情况</w:t>
            </w:r>
          </w:p>
        </w:tc>
        <w:tc>
          <w:tcPr>
            <w:tcW w:w="2165" w:type="dxa"/>
            <w:tcBorders>
              <w:top w:val="nil"/>
              <w:left w:val="nil"/>
              <w:bottom w:val="single" w:color="auto" w:sz="4" w:space="0"/>
              <w:right w:val="single" w:color="auto" w:sz="8" w:space="0"/>
            </w:tcBorders>
            <w:vAlign w:val="center"/>
          </w:tcPr>
          <w:p>
            <w:pPr>
              <w:jc w:val="center"/>
              <w:rPr>
                <w:color w:val="000000"/>
                <w:sz w:val="20"/>
              </w:rPr>
            </w:pPr>
            <w:r>
              <w:rPr>
                <w:color w:val="000000"/>
                <w:sz w:val="20"/>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0" w:type="dxa"/>
            <w:tcBorders>
              <w:top w:val="nil"/>
              <w:left w:val="single" w:color="auto" w:sz="8" w:space="0"/>
              <w:bottom w:val="single" w:color="auto" w:sz="4" w:space="0"/>
              <w:right w:val="nil"/>
            </w:tcBorders>
            <w:vAlign w:val="center"/>
          </w:tcPr>
          <w:p>
            <w:pPr>
              <w:jc w:val="center"/>
              <w:rPr>
                <w:color w:val="000000"/>
              </w:rPr>
            </w:pPr>
            <w:r>
              <w:rPr>
                <w:color w:val="000000"/>
              </w:rPr>
              <w:t>1</w:t>
            </w:r>
          </w:p>
        </w:tc>
        <w:tc>
          <w:tcPr>
            <w:tcW w:w="7005" w:type="dxa"/>
            <w:tcBorders>
              <w:top w:val="single" w:color="auto" w:sz="4" w:space="0"/>
              <w:left w:val="single" w:color="auto" w:sz="4" w:space="0"/>
              <w:bottom w:val="nil"/>
              <w:right w:val="single" w:color="auto" w:sz="4" w:space="0"/>
            </w:tcBorders>
            <w:vAlign w:val="center"/>
          </w:tcPr>
          <w:p>
            <w:pPr>
              <w:rPr>
                <w:sz w:val="18"/>
                <w:szCs w:val="18"/>
              </w:rPr>
            </w:pPr>
            <w:r>
              <w:rPr>
                <w:sz w:val="18"/>
                <w:szCs w:val="18"/>
              </w:rPr>
              <w:t>投标人已按招标文件要求交纳投标保证金</w:t>
            </w:r>
          </w:p>
        </w:tc>
        <w:tc>
          <w:tcPr>
            <w:tcW w:w="2165" w:type="dxa"/>
            <w:tcBorders>
              <w:top w:val="nil"/>
              <w:left w:val="nil"/>
              <w:bottom w:val="single" w:color="auto" w:sz="4" w:space="0"/>
              <w:right w:val="single" w:color="auto" w:sz="4" w:space="0"/>
            </w:tcBorders>
            <w:vAlign w:val="center"/>
          </w:tcPr>
          <w:p>
            <w:pPr>
              <w:jc w:val="center"/>
              <w:rPr>
                <w:color w:val="000000"/>
                <w:sz w:val="20"/>
              </w:rPr>
            </w:pPr>
          </w:p>
        </w:tc>
        <w:tc>
          <w:tcPr>
            <w:tcW w:w="2165" w:type="dxa"/>
            <w:tcBorders>
              <w:top w:val="nil"/>
              <w:left w:val="nil"/>
              <w:bottom w:val="single" w:color="auto" w:sz="4" w:space="0"/>
              <w:right w:val="single" w:color="auto" w:sz="4" w:space="0"/>
            </w:tcBorders>
            <w:vAlign w:val="center"/>
          </w:tcPr>
          <w:p>
            <w:pPr>
              <w:jc w:val="center"/>
              <w:rPr>
                <w:color w:val="000000"/>
                <w:sz w:val="20"/>
              </w:rPr>
            </w:pPr>
          </w:p>
        </w:tc>
        <w:tc>
          <w:tcPr>
            <w:tcW w:w="2165" w:type="dxa"/>
            <w:tcBorders>
              <w:top w:val="nil"/>
              <w:left w:val="nil"/>
              <w:bottom w:val="single" w:color="auto" w:sz="4" w:space="0"/>
              <w:right w:val="single" w:color="auto" w:sz="8" w:space="0"/>
            </w:tcBorders>
            <w:vAlign w:val="center"/>
          </w:tcPr>
          <w:p>
            <w:pPr>
              <w:jc w:val="center"/>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2</w:t>
            </w:r>
          </w:p>
        </w:tc>
        <w:tc>
          <w:tcPr>
            <w:tcW w:w="700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投标人符合合格投标人的基本条件（含资格证明文件已提供或符合招标文件要求）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3</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投标文件有法定代表人或其授权代表签字（或盖私章），或签字人有法定代表人有效授权，签字盖章符合招标文件要求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4</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投标函及投标有效期限符合要求</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5</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投标报价固定、无将项目内容拆开投标或投标方案是唯一</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660" w:type="dxa"/>
            <w:tcBorders>
              <w:top w:val="single" w:color="auto" w:sz="4" w:space="0"/>
              <w:left w:val="single" w:color="auto" w:sz="8" w:space="0"/>
              <w:bottom w:val="single" w:color="auto" w:sz="4" w:space="0"/>
              <w:right w:val="nil"/>
            </w:tcBorders>
            <w:vAlign w:val="center"/>
          </w:tcPr>
          <w:p>
            <w:pPr>
              <w:jc w:val="center"/>
              <w:rPr>
                <w:color w:val="000000"/>
                <w:sz w:val="20"/>
              </w:rPr>
            </w:pPr>
            <w:r>
              <w:rPr>
                <w:color w:val="000000"/>
                <w:sz w:val="20"/>
              </w:rPr>
              <w:t>6</w:t>
            </w:r>
          </w:p>
        </w:tc>
        <w:tc>
          <w:tcPr>
            <w:tcW w:w="700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最终报价不超过最高报价限价</w:t>
            </w:r>
          </w:p>
        </w:tc>
        <w:tc>
          <w:tcPr>
            <w:tcW w:w="2165" w:type="dxa"/>
            <w:tcBorders>
              <w:top w:val="single" w:color="auto" w:sz="4" w:space="0"/>
              <w:left w:val="nil"/>
              <w:bottom w:val="single" w:color="auto" w:sz="4" w:space="0"/>
              <w:right w:val="single" w:color="auto" w:sz="4" w:space="0"/>
            </w:tcBorders>
            <w:vAlign w:val="center"/>
          </w:tcPr>
          <w:p>
            <w:pPr>
              <w:jc w:val="center"/>
              <w:rPr>
                <w:color w:val="000000"/>
                <w:sz w:val="18"/>
                <w:szCs w:val="18"/>
              </w:rPr>
            </w:pPr>
          </w:p>
        </w:tc>
        <w:tc>
          <w:tcPr>
            <w:tcW w:w="2165" w:type="dxa"/>
            <w:tcBorders>
              <w:top w:val="single" w:color="auto" w:sz="4" w:space="0"/>
              <w:left w:val="nil"/>
              <w:bottom w:val="single" w:color="auto" w:sz="4" w:space="0"/>
              <w:right w:val="single" w:color="auto" w:sz="4" w:space="0"/>
            </w:tcBorders>
            <w:vAlign w:val="center"/>
          </w:tcPr>
          <w:p>
            <w:pPr>
              <w:jc w:val="center"/>
              <w:rPr>
                <w:color w:val="000000"/>
              </w:rPr>
            </w:pPr>
          </w:p>
        </w:tc>
        <w:tc>
          <w:tcPr>
            <w:tcW w:w="2165" w:type="dxa"/>
            <w:tcBorders>
              <w:top w:val="single" w:color="auto" w:sz="4" w:space="0"/>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7</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投标文件商务、技术响应与事实符合或无虚假投标</w:t>
            </w:r>
          </w:p>
        </w:tc>
        <w:tc>
          <w:tcPr>
            <w:tcW w:w="2165" w:type="dxa"/>
            <w:tcBorders>
              <w:top w:val="nil"/>
              <w:left w:val="nil"/>
              <w:bottom w:val="single" w:color="auto" w:sz="4" w:space="0"/>
              <w:right w:val="single" w:color="auto" w:sz="4" w:space="0"/>
            </w:tcBorders>
            <w:vAlign w:val="center"/>
          </w:tcPr>
          <w:p>
            <w:pPr>
              <w:jc w:val="center"/>
              <w:rPr>
                <w:color w:val="000000"/>
                <w:sz w:val="18"/>
                <w:szCs w:val="18"/>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8</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响应招标文件提出的实质性要求和条件（标注</w:t>
            </w:r>
            <w:r>
              <w:rPr>
                <w:rFonts w:hint="eastAsia" w:hAnsi="宋体" w:cs="宋体"/>
                <w:sz w:val="18"/>
                <w:szCs w:val="18"/>
              </w:rPr>
              <w:t>★</w:t>
            </w:r>
            <w:r>
              <w:rPr>
                <w:sz w:val="18"/>
                <w:szCs w:val="18"/>
              </w:rPr>
              <w:t>的条款）</w:t>
            </w:r>
          </w:p>
        </w:tc>
        <w:tc>
          <w:tcPr>
            <w:tcW w:w="2165" w:type="dxa"/>
            <w:tcBorders>
              <w:top w:val="nil"/>
              <w:left w:val="nil"/>
              <w:bottom w:val="nil"/>
              <w:right w:val="nil"/>
            </w:tcBorders>
            <w:vAlign w:val="center"/>
          </w:tcPr>
          <w:p>
            <w:pPr>
              <w:jc w:val="center"/>
              <w:rPr>
                <w:color w:val="000000"/>
              </w:rPr>
            </w:pPr>
          </w:p>
        </w:tc>
        <w:tc>
          <w:tcPr>
            <w:tcW w:w="2165" w:type="dxa"/>
            <w:tcBorders>
              <w:top w:val="nil"/>
              <w:left w:val="single" w:color="auto" w:sz="4" w:space="0"/>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9</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供货满足招标文件要求</w:t>
            </w:r>
          </w:p>
        </w:tc>
        <w:tc>
          <w:tcPr>
            <w:tcW w:w="2165" w:type="dxa"/>
            <w:tcBorders>
              <w:top w:val="single" w:color="auto" w:sz="4" w:space="0"/>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10</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投标文件中未附有招标人不能接受的条件</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60" w:type="dxa"/>
            <w:tcBorders>
              <w:top w:val="nil"/>
              <w:left w:val="single" w:color="auto" w:sz="8" w:space="0"/>
              <w:bottom w:val="single" w:color="auto" w:sz="4" w:space="0"/>
              <w:right w:val="nil"/>
            </w:tcBorders>
            <w:vAlign w:val="center"/>
          </w:tcPr>
          <w:p>
            <w:pPr>
              <w:jc w:val="center"/>
              <w:rPr>
                <w:color w:val="000000"/>
                <w:sz w:val="20"/>
              </w:rPr>
            </w:pPr>
            <w:r>
              <w:rPr>
                <w:color w:val="000000"/>
                <w:sz w:val="20"/>
              </w:rPr>
              <w:t>11</w:t>
            </w:r>
          </w:p>
        </w:tc>
        <w:tc>
          <w:tcPr>
            <w:tcW w:w="7005" w:type="dxa"/>
            <w:tcBorders>
              <w:top w:val="nil"/>
              <w:left w:val="single" w:color="auto" w:sz="4" w:space="0"/>
              <w:bottom w:val="single" w:color="auto" w:sz="4" w:space="0"/>
              <w:right w:val="single" w:color="auto" w:sz="4" w:space="0"/>
            </w:tcBorders>
            <w:vAlign w:val="center"/>
          </w:tcPr>
          <w:p>
            <w:pPr>
              <w:rPr>
                <w:sz w:val="18"/>
                <w:szCs w:val="18"/>
              </w:rPr>
            </w:pPr>
            <w:r>
              <w:rPr>
                <w:sz w:val="18"/>
                <w:szCs w:val="18"/>
              </w:rPr>
              <w:t>符合法律、法规和招标文件中规定的其他实质性要求</w:t>
            </w: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4" w:space="0"/>
            </w:tcBorders>
            <w:vAlign w:val="center"/>
          </w:tcPr>
          <w:p>
            <w:pPr>
              <w:jc w:val="center"/>
              <w:rPr>
                <w:color w:val="000000"/>
              </w:rPr>
            </w:pPr>
          </w:p>
        </w:tc>
        <w:tc>
          <w:tcPr>
            <w:tcW w:w="2165" w:type="dxa"/>
            <w:tcBorders>
              <w:top w:val="nil"/>
              <w:left w:val="nil"/>
              <w:bottom w:val="single" w:color="auto" w:sz="4" w:space="0"/>
              <w:right w:val="single" w:color="auto" w:sz="8" w:space="0"/>
            </w:tcBorders>
            <w:vAlign w:val="center"/>
          </w:tcPr>
          <w:p>
            <w:pPr>
              <w:jc w:val="cente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60" w:type="dxa"/>
            <w:tcBorders>
              <w:top w:val="nil"/>
              <w:left w:val="single" w:color="auto" w:sz="8" w:space="0"/>
              <w:bottom w:val="single" w:color="auto" w:sz="4" w:space="0"/>
              <w:right w:val="single" w:color="auto" w:sz="4" w:space="0"/>
            </w:tcBorders>
            <w:vAlign w:val="center"/>
          </w:tcPr>
          <w:p>
            <w:pPr>
              <w:jc w:val="center"/>
              <w:rPr>
                <w:color w:val="000000"/>
                <w:szCs w:val="21"/>
              </w:rPr>
            </w:pPr>
            <w:r>
              <w:rPr>
                <w:color w:val="000000"/>
                <w:szCs w:val="21"/>
              </w:rPr>
              <w:t>　</w:t>
            </w:r>
          </w:p>
        </w:tc>
        <w:tc>
          <w:tcPr>
            <w:tcW w:w="7005" w:type="dxa"/>
            <w:tcBorders>
              <w:top w:val="nil"/>
              <w:left w:val="nil"/>
              <w:bottom w:val="single" w:color="auto" w:sz="4" w:space="0"/>
              <w:right w:val="single" w:color="auto" w:sz="4" w:space="0"/>
            </w:tcBorders>
            <w:vAlign w:val="center"/>
          </w:tcPr>
          <w:p>
            <w:pPr>
              <w:jc w:val="center"/>
              <w:rPr>
                <w:color w:val="000000"/>
                <w:szCs w:val="21"/>
              </w:rPr>
            </w:pPr>
            <w:r>
              <w:rPr>
                <w:color w:val="000000"/>
                <w:szCs w:val="21"/>
              </w:rPr>
              <w:t>结     论</w:t>
            </w:r>
          </w:p>
        </w:tc>
        <w:tc>
          <w:tcPr>
            <w:tcW w:w="2165" w:type="dxa"/>
            <w:tcBorders>
              <w:top w:val="nil"/>
              <w:left w:val="nil"/>
              <w:bottom w:val="single" w:color="auto" w:sz="4" w:space="0"/>
              <w:right w:val="single" w:color="auto" w:sz="4" w:space="0"/>
            </w:tcBorders>
            <w:vAlign w:val="center"/>
          </w:tcPr>
          <w:p>
            <w:pPr>
              <w:jc w:val="center"/>
              <w:rPr>
                <w:color w:val="000000"/>
                <w:szCs w:val="21"/>
              </w:rPr>
            </w:pPr>
          </w:p>
        </w:tc>
        <w:tc>
          <w:tcPr>
            <w:tcW w:w="2165" w:type="dxa"/>
            <w:tcBorders>
              <w:top w:val="nil"/>
              <w:left w:val="nil"/>
              <w:bottom w:val="single" w:color="auto" w:sz="4" w:space="0"/>
              <w:right w:val="single" w:color="auto" w:sz="4" w:space="0"/>
            </w:tcBorders>
            <w:vAlign w:val="center"/>
          </w:tcPr>
          <w:p>
            <w:pPr>
              <w:jc w:val="center"/>
              <w:rPr>
                <w:color w:val="000000"/>
                <w:szCs w:val="21"/>
              </w:rPr>
            </w:pPr>
          </w:p>
        </w:tc>
        <w:tc>
          <w:tcPr>
            <w:tcW w:w="2165" w:type="dxa"/>
            <w:tcBorders>
              <w:top w:val="nil"/>
              <w:left w:val="nil"/>
              <w:bottom w:val="single" w:color="auto" w:sz="4" w:space="0"/>
              <w:right w:val="single" w:color="auto" w:sz="8" w:space="0"/>
            </w:tcBorders>
            <w:vAlign w:val="center"/>
          </w:tcPr>
          <w:p>
            <w:pPr>
              <w:jc w:val="center"/>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665" w:type="dxa"/>
            <w:gridSpan w:val="2"/>
            <w:tcBorders>
              <w:top w:val="single" w:color="auto" w:sz="4" w:space="0"/>
              <w:left w:val="single" w:color="auto" w:sz="8" w:space="0"/>
              <w:bottom w:val="single" w:color="auto" w:sz="8" w:space="0"/>
              <w:right w:val="single" w:color="auto" w:sz="4" w:space="0"/>
            </w:tcBorders>
            <w:vAlign w:val="center"/>
          </w:tcPr>
          <w:p>
            <w:pPr>
              <w:jc w:val="center"/>
              <w:rPr>
                <w:color w:val="000000"/>
                <w:szCs w:val="21"/>
              </w:rPr>
            </w:pPr>
            <w:r>
              <w:rPr>
                <w:color w:val="000000"/>
                <w:szCs w:val="21"/>
              </w:rPr>
              <w:t>评委签署</w:t>
            </w:r>
          </w:p>
        </w:tc>
        <w:tc>
          <w:tcPr>
            <w:tcW w:w="6495" w:type="dxa"/>
            <w:gridSpan w:val="3"/>
            <w:tcBorders>
              <w:top w:val="single" w:color="auto" w:sz="4" w:space="0"/>
              <w:left w:val="nil"/>
              <w:bottom w:val="single" w:color="auto" w:sz="8" w:space="0"/>
              <w:right w:val="single" w:color="000000" w:sz="8" w:space="0"/>
            </w:tcBorders>
            <w:vAlign w:val="center"/>
          </w:tcPr>
          <w:p>
            <w:pPr>
              <w:jc w:val="center"/>
              <w:rPr>
                <w:color w:val="000000"/>
                <w:szCs w:val="21"/>
              </w:rPr>
            </w:pPr>
            <w:r>
              <w:rPr>
                <w:color w:val="000000"/>
                <w:szCs w:val="21"/>
              </w:rPr>
              <w:t>　</w:t>
            </w:r>
          </w:p>
        </w:tc>
      </w:tr>
    </w:tbl>
    <w:p>
      <w:pPr>
        <w:spacing w:line="400" w:lineRule="exact"/>
        <w:rPr>
          <w:szCs w:val="21"/>
        </w:rPr>
      </w:pPr>
      <w:r>
        <w:rPr>
          <w:szCs w:val="21"/>
        </w:rPr>
        <w:t>备注：1、每一项目符合的打</w:t>
      </w:r>
      <w:r>
        <w:rPr>
          <w:rFonts w:ascii="宋体" w:hAnsi="宋体" w:eastAsia="宋体"/>
          <w:szCs w:val="21"/>
        </w:rPr>
        <w:t>“○”，不符合的打“×”；出现一个“×”</w:t>
      </w:r>
      <w:r>
        <w:rPr>
          <w:szCs w:val="21"/>
        </w:rPr>
        <w:t>的结论为不通过</w:t>
      </w:r>
      <w:r>
        <w:rPr>
          <w:rFonts w:hint="eastAsia"/>
          <w:szCs w:val="21"/>
        </w:rPr>
        <w:t>并写明不通过原因情况</w:t>
      </w:r>
      <w:r>
        <w:rPr>
          <w:szCs w:val="21"/>
        </w:rPr>
        <w:t>。</w:t>
      </w:r>
    </w:p>
    <w:p>
      <w:pPr>
        <w:pStyle w:val="30"/>
        <w:rPr>
          <w:rFonts w:ascii="Times New Roman" w:hAnsi="Times New Roman"/>
          <w:color w:val="auto"/>
        </w:rPr>
      </w:pPr>
      <w:r>
        <w:rPr>
          <w:rFonts w:hint="eastAsia" w:ascii="Times New Roman" w:hAnsi="Times New Roman"/>
          <w:color w:val="auto"/>
        </w:rPr>
        <w:t xml:space="preserve">        </w:t>
      </w:r>
      <w:r>
        <w:rPr>
          <w:rFonts w:hint="eastAsia" w:ascii="Times New Roman" w:hAnsi="Times New Roman"/>
          <w:b w:val="0"/>
          <w:bCs w:val="0"/>
          <w:color w:val="auto"/>
        </w:rPr>
        <w:t xml:space="preserve">   </w:t>
      </w:r>
    </w:p>
    <w:p>
      <w:pPr>
        <w:pStyle w:val="30"/>
        <w:rPr>
          <w:rFonts w:ascii="Times New Roman" w:hAnsi="Times New Roman"/>
          <w:color w:val="auto"/>
        </w:rPr>
      </w:pPr>
      <w:r>
        <w:rPr>
          <w:rFonts w:ascii="Times New Roman" w:hAnsi="Times New Roman"/>
          <w:color w:val="auto"/>
        </w:rPr>
        <w:t>日    期：</w:t>
      </w:r>
    </w:p>
    <w:p>
      <w:pPr>
        <w:rPr>
          <w:szCs w:val="21"/>
        </w:rPr>
      </w:pPr>
      <w:r>
        <w:rPr>
          <w:szCs w:val="21"/>
        </w:rPr>
        <w:br w:type="page"/>
      </w:r>
      <w:r>
        <w:rPr>
          <w:szCs w:val="21"/>
        </w:rPr>
        <w:t>附表3-2：</w:t>
      </w:r>
    </w:p>
    <w:p>
      <w:pPr>
        <w:spacing w:line="360" w:lineRule="auto"/>
        <w:jc w:val="center"/>
        <w:rPr>
          <w:b/>
          <w:bCs/>
          <w:sz w:val="28"/>
          <w:szCs w:val="28"/>
        </w:rPr>
      </w:pPr>
      <w:r>
        <w:rPr>
          <w:rFonts w:hint="eastAsia"/>
          <w:b/>
          <w:bCs/>
          <w:sz w:val="28"/>
          <w:szCs w:val="28"/>
        </w:rPr>
        <w:t>商务技术评分表</w:t>
      </w:r>
    </w:p>
    <w:tbl>
      <w:tblPr>
        <w:tblStyle w:val="47"/>
        <w:tblW w:w="15150" w:type="dxa"/>
        <w:tblInd w:w="-40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5"/>
        <w:gridCol w:w="1185"/>
        <w:gridCol w:w="765"/>
        <w:gridCol w:w="6319"/>
        <w:gridCol w:w="1134"/>
        <w:gridCol w:w="962"/>
        <w:gridCol w:w="15"/>
        <w:gridCol w:w="945"/>
        <w:gridCol w:w="953"/>
        <w:gridCol w:w="1177"/>
        <w:gridCol w:w="12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465" w:type="dxa"/>
            <w:vMerge w:val="restart"/>
            <w:shd w:val="clear" w:color="auto" w:fill="D9D9D9"/>
            <w:vAlign w:val="center"/>
          </w:tcPr>
          <w:p>
            <w:pPr>
              <w:jc w:val="center"/>
              <w:rPr>
                <w:b/>
                <w:bCs/>
                <w:color w:val="000000"/>
                <w:szCs w:val="21"/>
                <w:highlight w:val="none"/>
              </w:rPr>
            </w:pPr>
            <w:r>
              <w:rPr>
                <w:rFonts w:hint="eastAsia"/>
                <w:b/>
                <w:bCs/>
                <w:color w:val="000000"/>
                <w:szCs w:val="21"/>
                <w:highlight w:val="none"/>
              </w:rPr>
              <w:t>序号</w:t>
            </w:r>
          </w:p>
        </w:tc>
        <w:tc>
          <w:tcPr>
            <w:tcW w:w="1185" w:type="dxa"/>
            <w:vMerge w:val="restart"/>
            <w:shd w:val="clear" w:color="auto" w:fill="D9D9D9"/>
            <w:vAlign w:val="center"/>
          </w:tcPr>
          <w:p>
            <w:pPr>
              <w:jc w:val="center"/>
              <w:rPr>
                <w:color w:val="000000"/>
                <w:szCs w:val="21"/>
              </w:rPr>
            </w:pPr>
            <w:r>
              <w:rPr>
                <w:rFonts w:hint="eastAsia"/>
                <w:b/>
                <w:bCs/>
                <w:color w:val="000000"/>
                <w:szCs w:val="21"/>
              </w:rPr>
              <w:t>评审项目</w:t>
            </w:r>
          </w:p>
        </w:tc>
        <w:tc>
          <w:tcPr>
            <w:tcW w:w="765" w:type="dxa"/>
            <w:vMerge w:val="restart"/>
            <w:shd w:val="clear" w:color="auto" w:fill="D9D9D9"/>
            <w:vAlign w:val="center"/>
          </w:tcPr>
          <w:p>
            <w:pPr>
              <w:jc w:val="center"/>
              <w:rPr>
                <w:color w:val="000000"/>
                <w:szCs w:val="21"/>
              </w:rPr>
            </w:pPr>
            <w:r>
              <w:rPr>
                <w:rFonts w:hint="eastAsia"/>
                <w:b/>
                <w:bCs/>
                <w:color w:val="000000"/>
                <w:szCs w:val="21"/>
              </w:rPr>
              <w:t>分配分数</w:t>
            </w:r>
          </w:p>
        </w:tc>
        <w:tc>
          <w:tcPr>
            <w:tcW w:w="6319" w:type="dxa"/>
            <w:vMerge w:val="restart"/>
            <w:shd w:val="clear" w:color="auto" w:fill="D9D9D9"/>
            <w:vAlign w:val="center"/>
          </w:tcPr>
          <w:p>
            <w:pPr>
              <w:jc w:val="center"/>
              <w:rPr>
                <w:color w:val="000000"/>
                <w:szCs w:val="21"/>
              </w:rPr>
            </w:pPr>
            <w:r>
              <w:rPr>
                <w:rFonts w:hint="eastAsia"/>
                <w:b/>
                <w:bCs/>
                <w:color w:val="000000"/>
                <w:szCs w:val="21"/>
              </w:rPr>
              <w:t>评议内容</w:t>
            </w:r>
          </w:p>
        </w:tc>
        <w:tc>
          <w:tcPr>
            <w:tcW w:w="4009" w:type="dxa"/>
            <w:gridSpan w:val="5"/>
            <w:shd w:val="clear" w:color="auto" w:fill="D9D9D9"/>
            <w:vAlign w:val="center"/>
          </w:tcPr>
          <w:p>
            <w:pPr>
              <w:jc w:val="center"/>
              <w:rPr>
                <w:b/>
                <w:bCs/>
                <w:color w:val="000000"/>
                <w:szCs w:val="21"/>
              </w:rPr>
            </w:pPr>
            <w:r>
              <w:rPr>
                <w:rFonts w:hint="eastAsia"/>
                <w:b/>
                <w:bCs/>
                <w:color w:val="000000"/>
                <w:szCs w:val="21"/>
              </w:rPr>
              <w:t>评分</w:t>
            </w:r>
          </w:p>
        </w:tc>
        <w:tc>
          <w:tcPr>
            <w:tcW w:w="1177" w:type="dxa"/>
            <w:vMerge w:val="restart"/>
            <w:shd w:val="clear" w:color="auto" w:fill="D9D9D9"/>
            <w:vAlign w:val="center"/>
          </w:tcPr>
          <w:p>
            <w:pPr>
              <w:jc w:val="center"/>
              <w:rPr>
                <w:b/>
                <w:bCs/>
                <w:color w:val="000000"/>
                <w:szCs w:val="21"/>
              </w:rPr>
            </w:pPr>
            <w:r>
              <w:rPr>
                <w:rFonts w:hint="eastAsia"/>
                <w:b/>
                <w:bCs/>
                <w:color w:val="000000"/>
                <w:szCs w:val="21"/>
              </w:rPr>
              <w:t>投标人</w:t>
            </w:r>
          </w:p>
          <w:p>
            <w:pPr>
              <w:jc w:val="center"/>
              <w:rPr>
                <w:color w:val="000000"/>
                <w:szCs w:val="21"/>
              </w:rPr>
            </w:pPr>
            <w:r>
              <w:rPr>
                <w:b/>
                <w:bCs/>
                <w:color w:val="000000"/>
                <w:szCs w:val="21"/>
              </w:rPr>
              <w:t>…</w:t>
            </w:r>
          </w:p>
        </w:tc>
        <w:tc>
          <w:tcPr>
            <w:tcW w:w="1230" w:type="dxa"/>
            <w:vMerge w:val="restart"/>
            <w:shd w:val="clear" w:color="auto" w:fill="D9D9D9"/>
            <w:vAlign w:val="center"/>
          </w:tcPr>
          <w:p>
            <w:pPr>
              <w:jc w:val="center"/>
              <w:rPr>
                <w:b/>
                <w:bCs/>
                <w:color w:val="000000"/>
                <w:szCs w:val="21"/>
              </w:rPr>
            </w:pPr>
            <w:r>
              <w:rPr>
                <w:rFonts w:hint="eastAsia"/>
                <w:b/>
                <w:bCs/>
                <w:color w:val="000000"/>
                <w:szCs w:val="21"/>
              </w:rPr>
              <w:t>投标人</w:t>
            </w:r>
          </w:p>
          <w:p>
            <w:pPr>
              <w:jc w:val="center"/>
              <w:rPr>
                <w:b/>
                <w:bCs/>
                <w:color w:val="000000"/>
                <w:szCs w:val="21"/>
              </w:rPr>
            </w:pPr>
            <w:r>
              <w:rPr>
                <w:b/>
                <w:bCs/>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 w:hRule="atLeast"/>
        </w:trPr>
        <w:tc>
          <w:tcPr>
            <w:tcW w:w="465" w:type="dxa"/>
            <w:vMerge w:val="continue"/>
            <w:shd w:val="clear" w:color="auto" w:fill="auto"/>
            <w:vAlign w:val="top"/>
          </w:tcPr>
          <w:p>
            <w:pPr>
              <w:jc w:val="center"/>
              <w:rPr>
                <w:color w:val="000000"/>
                <w:szCs w:val="21"/>
                <w:highlight w:val="none"/>
              </w:rPr>
            </w:pPr>
          </w:p>
        </w:tc>
        <w:tc>
          <w:tcPr>
            <w:tcW w:w="1185" w:type="dxa"/>
            <w:vMerge w:val="continue"/>
            <w:shd w:val="clear" w:color="auto" w:fill="auto"/>
            <w:vAlign w:val="top"/>
          </w:tcPr>
          <w:p>
            <w:pPr>
              <w:jc w:val="center"/>
              <w:rPr>
                <w:color w:val="000000"/>
                <w:szCs w:val="21"/>
              </w:rPr>
            </w:pPr>
          </w:p>
        </w:tc>
        <w:tc>
          <w:tcPr>
            <w:tcW w:w="765" w:type="dxa"/>
            <w:vMerge w:val="continue"/>
            <w:shd w:val="clear" w:color="auto" w:fill="auto"/>
            <w:vAlign w:val="top"/>
          </w:tcPr>
          <w:p>
            <w:pPr>
              <w:jc w:val="center"/>
              <w:rPr>
                <w:color w:val="000000"/>
                <w:szCs w:val="21"/>
              </w:rPr>
            </w:pPr>
          </w:p>
        </w:tc>
        <w:tc>
          <w:tcPr>
            <w:tcW w:w="6319" w:type="dxa"/>
            <w:vMerge w:val="continue"/>
            <w:shd w:val="clear" w:color="auto" w:fill="auto"/>
            <w:vAlign w:val="top"/>
          </w:tcPr>
          <w:p>
            <w:pPr>
              <w:jc w:val="center"/>
              <w:rPr>
                <w:color w:val="000000"/>
                <w:szCs w:val="21"/>
              </w:rPr>
            </w:pPr>
          </w:p>
        </w:tc>
        <w:tc>
          <w:tcPr>
            <w:tcW w:w="1134"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rPr>
              <w:t>100</w:t>
            </w:r>
            <w:r>
              <w:rPr>
                <w:rFonts w:hint="eastAsia"/>
                <w:b/>
                <w:bCs/>
                <w:color w:val="000000"/>
                <w:szCs w:val="21"/>
                <w:lang w:val="en-US" w:eastAsia="zh-CN"/>
              </w:rPr>
              <w:t>%</w:t>
            </w:r>
          </w:p>
        </w:tc>
        <w:tc>
          <w:tcPr>
            <w:tcW w:w="977" w:type="dxa"/>
            <w:gridSpan w:val="2"/>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80%</w:t>
            </w:r>
          </w:p>
        </w:tc>
        <w:tc>
          <w:tcPr>
            <w:tcW w:w="945"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60%</w:t>
            </w:r>
          </w:p>
        </w:tc>
        <w:tc>
          <w:tcPr>
            <w:tcW w:w="953" w:type="dxa"/>
            <w:shd w:val="clear" w:color="auto" w:fill="D9D9D9"/>
            <w:vAlign w:val="center"/>
          </w:tcPr>
          <w:p>
            <w:pPr>
              <w:jc w:val="center"/>
              <w:rPr>
                <w:rFonts w:hint="eastAsia" w:eastAsia="宋体"/>
                <w:b/>
                <w:bCs/>
                <w:color w:val="000000"/>
                <w:szCs w:val="21"/>
                <w:lang w:val="en-US" w:eastAsia="zh-CN"/>
              </w:rPr>
            </w:pPr>
            <w:r>
              <w:rPr>
                <w:rFonts w:hint="eastAsia"/>
                <w:b/>
                <w:bCs/>
                <w:color w:val="000000"/>
                <w:szCs w:val="21"/>
                <w:lang w:val="en-US" w:eastAsia="zh-CN"/>
              </w:rPr>
              <w:t>40%</w:t>
            </w:r>
          </w:p>
        </w:tc>
        <w:tc>
          <w:tcPr>
            <w:tcW w:w="1177" w:type="dxa"/>
            <w:vMerge w:val="continue"/>
            <w:vAlign w:val="top"/>
          </w:tcPr>
          <w:p>
            <w:pPr>
              <w:jc w:val="center"/>
              <w:rPr>
                <w:color w:val="000000"/>
                <w:szCs w:val="21"/>
              </w:rPr>
            </w:pPr>
          </w:p>
        </w:tc>
        <w:tc>
          <w:tcPr>
            <w:tcW w:w="1230" w:type="dxa"/>
            <w:vMerge w:val="continue"/>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 w:hRule="atLeast"/>
        </w:trPr>
        <w:tc>
          <w:tcPr>
            <w:tcW w:w="465" w:type="dxa"/>
            <w:vMerge w:val="continue"/>
            <w:shd w:val="clear" w:color="auto" w:fill="auto"/>
            <w:vAlign w:val="top"/>
          </w:tcPr>
          <w:p>
            <w:pPr>
              <w:jc w:val="center"/>
              <w:rPr>
                <w:color w:val="000000"/>
                <w:szCs w:val="21"/>
                <w:highlight w:val="none"/>
              </w:rPr>
            </w:pPr>
          </w:p>
        </w:tc>
        <w:tc>
          <w:tcPr>
            <w:tcW w:w="1185" w:type="dxa"/>
            <w:vMerge w:val="continue"/>
            <w:shd w:val="clear" w:color="auto" w:fill="auto"/>
            <w:vAlign w:val="top"/>
          </w:tcPr>
          <w:p>
            <w:pPr>
              <w:jc w:val="center"/>
              <w:rPr>
                <w:color w:val="000000"/>
                <w:szCs w:val="21"/>
              </w:rPr>
            </w:pPr>
          </w:p>
        </w:tc>
        <w:tc>
          <w:tcPr>
            <w:tcW w:w="765" w:type="dxa"/>
            <w:vMerge w:val="continue"/>
            <w:shd w:val="clear" w:color="auto" w:fill="auto"/>
            <w:vAlign w:val="top"/>
          </w:tcPr>
          <w:p>
            <w:pPr>
              <w:jc w:val="center"/>
              <w:rPr>
                <w:color w:val="000000"/>
                <w:szCs w:val="21"/>
              </w:rPr>
            </w:pPr>
          </w:p>
        </w:tc>
        <w:tc>
          <w:tcPr>
            <w:tcW w:w="6319" w:type="dxa"/>
            <w:vMerge w:val="continue"/>
            <w:shd w:val="clear" w:color="auto" w:fill="auto"/>
            <w:vAlign w:val="top"/>
          </w:tcPr>
          <w:p>
            <w:pPr>
              <w:jc w:val="center"/>
              <w:rPr>
                <w:color w:val="000000"/>
                <w:szCs w:val="21"/>
              </w:rPr>
            </w:pPr>
          </w:p>
        </w:tc>
        <w:tc>
          <w:tcPr>
            <w:tcW w:w="1134" w:type="dxa"/>
            <w:shd w:val="clear" w:color="auto" w:fill="D9D9D9"/>
            <w:vAlign w:val="center"/>
          </w:tcPr>
          <w:p>
            <w:pPr>
              <w:jc w:val="center"/>
              <w:rPr>
                <w:b/>
                <w:bCs/>
                <w:color w:val="000000"/>
                <w:szCs w:val="21"/>
              </w:rPr>
            </w:pPr>
            <w:r>
              <w:rPr>
                <w:rFonts w:hint="eastAsia"/>
                <w:b/>
                <w:bCs/>
                <w:color w:val="000000"/>
                <w:szCs w:val="21"/>
              </w:rPr>
              <w:t>优</w:t>
            </w:r>
          </w:p>
        </w:tc>
        <w:tc>
          <w:tcPr>
            <w:tcW w:w="977" w:type="dxa"/>
            <w:gridSpan w:val="2"/>
            <w:shd w:val="clear" w:color="auto" w:fill="D9D9D9"/>
            <w:vAlign w:val="center"/>
          </w:tcPr>
          <w:p>
            <w:pPr>
              <w:jc w:val="center"/>
              <w:rPr>
                <w:b/>
                <w:bCs/>
                <w:color w:val="000000"/>
                <w:szCs w:val="21"/>
              </w:rPr>
            </w:pPr>
            <w:r>
              <w:rPr>
                <w:rFonts w:hint="eastAsia"/>
                <w:b/>
                <w:bCs/>
                <w:color w:val="000000"/>
                <w:szCs w:val="21"/>
              </w:rPr>
              <w:t>良</w:t>
            </w:r>
          </w:p>
        </w:tc>
        <w:tc>
          <w:tcPr>
            <w:tcW w:w="945" w:type="dxa"/>
            <w:shd w:val="clear" w:color="auto" w:fill="D9D9D9"/>
            <w:vAlign w:val="center"/>
          </w:tcPr>
          <w:p>
            <w:pPr>
              <w:jc w:val="center"/>
              <w:rPr>
                <w:b/>
                <w:bCs/>
                <w:color w:val="000000"/>
                <w:szCs w:val="21"/>
              </w:rPr>
            </w:pPr>
            <w:r>
              <w:rPr>
                <w:rFonts w:hint="eastAsia"/>
                <w:b/>
                <w:bCs/>
                <w:color w:val="000000"/>
                <w:szCs w:val="21"/>
              </w:rPr>
              <w:t>中</w:t>
            </w:r>
          </w:p>
        </w:tc>
        <w:tc>
          <w:tcPr>
            <w:tcW w:w="953" w:type="dxa"/>
            <w:shd w:val="clear" w:color="auto" w:fill="D9D9D9"/>
            <w:vAlign w:val="center"/>
          </w:tcPr>
          <w:p>
            <w:pPr>
              <w:jc w:val="center"/>
              <w:rPr>
                <w:b/>
                <w:bCs/>
                <w:color w:val="000000"/>
                <w:szCs w:val="21"/>
              </w:rPr>
            </w:pPr>
            <w:r>
              <w:rPr>
                <w:rFonts w:hint="eastAsia"/>
                <w:b/>
                <w:bCs/>
                <w:color w:val="000000"/>
                <w:szCs w:val="21"/>
              </w:rPr>
              <w:t>差</w:t>
            </w:r>
          </w:p>
        </w:tc>
        <w:tc>
          <w:tcPr>
            <w:tcW w:w="1177" w:type="dxa"/>
            <w:vMerge w:val="continue"/>
            <w:vAlign w:val="top"/>
          </w:tcPr>
          <w:p>
            <w:pPr>
              <w:jc w:val="center"/>
              <w:rPr>
                <w:color w:val="000000"/>
                <w:szCs w:val="21"/>
              </w:rPr>
            </w:pPr>
          </w:p>
        </w:tc>
        <w:tc>
          <w:tcPr>
            <w:tcW w:w="1230" w:type="dxa"/>
            <w:vMerge w:val="continue"/>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465" w:type="dxa"/>
            <w:vAlign w:val="center"/>
          </w:tcPr>
          <w:p>
            <w:pPr>
              <w:spacing w:line="360" w:lineRule="exact"/>
              <w:jc w:val="center"/>
              <w:rPr>
                <w:color w:val="000000"/>
                <w:szCs w:val="21"/>
                <w:highlight w:val="none"/>
              </w:rPr>
            </w:pPr>
            <w:r>
              <w:rPr>
                <w:rFonts w:hint="eastAsia"/>
                <w:color w:val="000000"/>
                <w:szCs w:val="21"/>
                <w:highlight w:val="none"/>
              </w:rPr>
              <w:t>1</w:t>
            </w:r>
          </w:p>
        </w:tc>
        <w:tc>
          <w:tcPr>
            <w:tcW w:w="1185" w:type="dxa"/>
            <w:vAlign w:val="center"/>
          </w:tcPr>
          <w:p>
            <w:pPr>
              <w:spacing w:line="300" w:lineRule="exact"/>
              <w:jc w:val="center"/>
              <w:rPr>
                <w:color w:val="000000"/>
                <w:szCs w:val="21"/>
              </w:rPr>
            </w:pPr>
            <w:r>
              <w:rPr>
                <w:rFonts w:hint="eastAsia"/>
                <w:color w:val="000000"/>
                <w:szCs w:val="21"/>
              </w:rPr>
              <w:t>招标文件响应程度</w:t>
            </w:r>
          </w:p>
        </w:tc>
        <w:tc>
          <w:tcPr>
            <w:tcW w:w="765" w:type="dxa"/>
            <w:vAlign w:val="center"/>
          </w:tcPr>
          <w:p>
            <w:pPr>
              <w:spacing w:line="300" w:lineRule="exact"/>
              <w:jc w:val="center"/>
              <w:rPr>
                <w:color w:val="000000"/>
                <w:szCs w:val="21"/>
              </w:rPr>
            </w:pPr>
            <w:r>
              <w:rPr>
                <w:rFonts w:hint="eastAsia"/>
                <w:color w:val="000000"/>
                <w:szCs w:val="21"/>
              </w:rPr>
              <w:t>5</w:t>
            </w:r>
          </w:p>
        </w:tc>
        <w:tc>
          <w:tcPr>
            <w:tcW w:w="10328" w:type="dxa"/>
            <w:gridSpan w:val="6"/>
            <w:vAlign w:val="center"/>
          </w:tcPr>
          <w:p>
            <w:pPr>
              <w:spacing w:line="300" w:lineRule="exact"/>
              <w:rPr>
                <w:rFonts w:hint="eastAsia" w:eastAsia="宋体"/>
                <w:lang w:eastAsia="zh-CN"/>
              </w:rPr>
            </w:pPr>
            <w:r>
              <w:rPr>
                <w:rFonts w:hint="eastAsia"/>
              </w:rPr>
              <w:t>对招标文件</w:t>
            </w:r>
            <w:r>
              <w:rPr>
                <w:rFonts w:hint="eastAsia"/>
                <w:lang w:eastAsia="zh-CN"/>
              </w:rPr>
              <w:t>商务技术</w:t>
            </w:r>
            <w:r>
              <w:rPr>
                <w:rFonts w:hint="eastAsia"/>
              </w:rPr>
              <w:t>条款的响应程度</w:t>
            </w:r>
            <w:r>
              <w:rPr>
                <w:rFonts w:hint="eastAsia"/>
                <w:lang w:eastAsia="zh-CN"/>
              </w:rPr>
              <w:t>：</w:t>
            </w:r>
          </w:p>
          <w:p>
            <w:pPr>
              <w:spacing w:line="300" w:lineRule="exact"/>
              <w:rPr>
                <w:rFonts w:hint="eastAsia"/>
                <w:sz w:val="21"/>
                <w:szCs w:val="21"/>
              </w:rPr>
            </w:pPr>
            <w:r>
              <w:rPr>
                <w:rFonts w:hint="eastAsia"/>
                <w:sz w:val="21"/>
                <w:szCs w:val="21"/>
              </w:rPr>
              <w:t>1.对招标文件商务技术条款的响应非常全面，完全符合文件要求，得</w:t>
            </w:r>
            <w:r>
              <w:rPr>
                <w:rFonts w:hint="eastAsia"/>
                <w:sz w:val="21"/>
                <w:szCs w:val="21"/>
                <w:lang w:val="en-US" w:eastAsia="zh-CN"/>
              </w:rPr>
              <w:t>5</w:t>
            </w:r>
            <w:r>
              <w:rPr>
                <w:rFonts w:hint="eastAsia"/>
                <w:sz w:val="21"/>
                <w:szCs w:val="21"/>
              </w:rPr>
              <w:t>分；</w:t>
            </w:r>
          </w:p>
          <w:p>
            <w:pPr>
              <w:spacing w:line="300" w:lineRule="exact"/>
              <w:rPr>
                <w:rFonts w:hint="eastAsia"/>
                <w:sz w:val="21"/>
                <w:szCs w:val="21"/>
              </w:rPr>
            </w:pPr>
            <w:r>
              <w:rPr>
                <w:rFonts w:hint="eastAsia"/>
                <w:sz w:val="21"/>
                <w:szCs w:val="21"/>
              </w:rPr>
              <w:t>2.对招标文件商务技术条款的响应较全面，较符合文件要求，得</w:t>
            </w:r>
            <w:r>
              <w:rPr>
                <w:rFonts w:hint="eastAsia"/>
                <w:sz w:val="21"/>
                <w:szCs w:val="21"/>
                <w:lang w:val="en-US" w:eastAsia="zh-CN"/>
              </w:rPr>
              <w:t>4</w:t>
            </w:r>
            <w:r>
              <w:rPr>
                <w:rFonts w:hint="eastAsia"/>
                <w:sz w:val="21"/>
                <w:szCs w:val="21"/>
              </w:rPr>
              <w:t>分；</w:t>
            </w:r>
          </w:p>
          <w:p>
            <w:pPr>
              <w:spacing w:line="300" w:lineRule="exact"/>
              <w:rPr>
                <w:rFonts w:hint="eastAsia"/>
                <w:sz w:val="21"/>
                <w:szCs w:val="21"/>
              </w:rPr>
            </w:pPr>
            <w:r>
              <w:rPr>
                <w:rFonts w:hint="eastAsia"/>
                <w:sz w:val="21"/>
                <w:szCs w:val="21"/>
              </w:rPr>
              <w:t>3.对招标文件商务技术条款的响应一般，基本满足文件要求，得</w:t>
            </w:r>
            <w:r>
              <w:rPr>
                <w:rFonts w:hint="eastAsia"/>
                <w:sz w:val="21"/>
                <w:szCs w:val="21"/>
                <w:lang w:val="en-US" w:eastAsia="zh-CN"/>
              </w:rPr>
              <w:t>3</w:t>
            </w:r>
            <w:r>
              <w:rPr>
                <w:rFonts w:hint="eastAsia"/>
                <w:sz w:val="21"/>
                <w:szCs w:val="21"/>
              </w:rPr>
              <w:t>分；</w:t>
            </w:r>
          </w:p>
          <w:p>
            <w:pPr>
              <w:spacing w:line="300" w:lineRule="exact"/>
              <w:rPr>
                <w:rFonts w:hint="eastAsia" w:eastAsia="宋体"/>
                <w:szCs w:val="21"/>
                <w:lang w:val="en-US" w:eastAsia="zh-CN"/>
              </w:rPr>
            </w:pPr>
            <w:r>
              <w:rPr>
                <w:rFonts w:hint="eastAsia"/>
                <w:sz w:val="21"/>
                <w:szCs w:val="21"/>
              </w:rPr>
              <w:t>4.对招标文件商务技术条款的响应较差，只有部分满足文件要求，得</w:t>
            </w:r>
            <w:r>
              <w:rPr>
                <w:rFonts w:hint="eastAsia"/>
                <w:sz w:val="21"/>
                <w:szCs w:val="21"/>
                <w:lang w:val="en-US" w:eastAsia="zh-CN"/>
              </w:rPr>
              <w:t>2</w:t>
            </w:r>
            <w:r>
              <w:rPr>
                <w:rFonts w:hint="eastAsia"/>
                <w:sz w:val="21"/>
                <w:szCs w:val="21"/>
              </w:rPr>
              <w:t>分。</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0" w:hRule="atLeast"/>
        </w:trPr>
        <w:tc>
          <w:tcPr>
            <w:tcW w:w="465" w:type="dxa"/>
            <w:tcBorders>
              <w:bottom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2</w:t>
            </w:r>
          </w:p>
        </w:tc>
        <w:tc>
          <w:tcPr>
            <w:tcW w:w="1185" w:type="dxa"/>
            <w:tcBorders>
              <w:top w:val="single" w:color="auto" w:sz="4" w:space="0"/>
              <w:bottom w:val="single" w:color="auto" w:sz="4" w:space="0"/>
            </w:tcBorders>
            <w:vAlign w:val="center"/>
          </w:tcPr>
          <w:p>
            <w:pPr>
              <w:spacing w:line="300" w:lineRule="exact"/>
              <w:jc w:val="center"/>
              <w:rPr>
                <w:color w:val="000000" w:themeColor="text1"/>
                <w:szCs w:val="21"/>
              </w:rPr>
            </w:pPr>
            <w:r>
              <w:rPr>
                <w:rFonts w:hint="eastAsia"/>
                <w:color w:val="000000" w:themeColor="text1"/>
                <w:szCs w:val="21"/>
              </w:rPr>
              <w:t>履约能力及服务</w:t>
            </w:r>
          </w:p>
        </w:tc>
        <w:tc>
          <w:tcPr>
            <w:tcW w:w="765" w:type="dxa"/>
            <w:tcBorders>
              <w:bottom w:val="single" w:color="auto" w:sz="4" w:space="0"/>
            </w:tcBorders>
            <w:vAlign w:val="center"/>
          </w:tcPr>
          <w:p>
            <w:pPr>
              <w:spacing w:line="300" w:lineRule="exact"/>
              <w:jc w:val="center"/>
              <w:rPr>
                <w:rFonts w:hint="eastAsia" w:eastAsia="宋体"/>
                <w:color w:val="000000" w:themeColor="text1"/>
                <w:szCs w:val="21"/>
                <w:lang w:eastAsia="zh-CN"/>
              </w:rPr>
            </w:pPr>
            <w:r>
              <w:rPr>
                <w:rFonts w:hint="eastAsia"/>
                <w:color w:val="000000" w:themeColor="text1"/>
                <w:szCs w:val="21"/>
                <w:lang w:val="en-US" w:eastAsia="zh-CN"/>
              </w:rPr>
              <w:t>7</w:t>
            </w:r>
          </w:p>
        </w:tc>
        <w:tc>
          <w:tcPr>
            <w:tcW w:w="6319" w:type="dxa"/>
            <w:tcBorders>
              <w:top w:val="single" w:color="auto" w:sz="4" w:space="0"/>
              <w:bottom w:val="single" w:color="auto" w:sz="4" w:space="0"/>
            </w:tcBorders>
            <w:vAlign w:val="center"/>
          </w:tcPr>
          <w:p>
            <w:pPr>
              <w:spacing w:line="300" w:lineRule="exact"/>
              <w:rPr>
                <w:color w:val="000000" w:themeColor="text1"/>
                <w:szCs w:val="21"/>
              </w:rPr>
            </w:pPr>
            <w:r>
              <w:rPr>
                <w:rFonts w:hint="eastAsia"/>
                <w:color w:val="000000" w:themeColor="text1"/>
                <w:szCs w:val="21"/>
                <w:lang w:eastAsia="zh-CN"/>
              </w:rPr>
              <w:t>对比</w:t>
            </w:r>
            <w:r>
              <w:rPr>
                <w:rFonts w:hint="eastAsia"/>
                <w:color w:val="000000" w:themeColor="text1"/>
                <w:szCs w:val="21"/>
              </w:rPr>
              <w:t>投标人及其生产厂商履约能力、</w:t>
            </w:r>
            <w:r>
              <w:rPr>
                <w:rFonts w:hint="eastAsia" w:ascii="宋体" w:hAnsi="宋体"/>
                <w:color w:val="000000" w:themeColor="text1"/>
                <w:szCs w:val="21"/>
              </w:rPr>
              <w:t>服务承诺（有服务承诺书，且有相关的具体实施措施，制定了生产、验收、</w:t>
            </w:r>
            <w:r>
              <w:rPr>
                <w:rFonts w:ascii="宋体" w:hAnsi="宋体"/>
                <w:color w:val="000000" w:themeColor="text1"/>
                <w:szCs w:val="21"/>
              </w:rPr>
              <w:t>供货计划</w:t>
            </w:r>
            <w:r>
              <w:rPr>
                <w:rFonts w:hint="eastAsia" w:ascii="宋体" w:hAnsi="宋体"/>
                <w:color w:val="000000" w:themeColor="text1"/>
                <w:szCs w:val="21"/>
              </w:rPr>
              <w:t>）</w:t>
            </w:r>
            <w:r>
              <w:rPr>
                <w:rFonts w:hint="eastAsia"/>
                <w:color w:val="000000" w:themeColor="text1"/>
                <w:szCs w:val="21"/>
              </w:rPr>
              <w:t>，技术、售后服务能力以及售后服务的便利性。</w:t>
            </w:r>
          </w:p>
        </w:tc>
        <w:tc>
          <w:tcPr>
            <w:tcW w:w="1134" w:type="dxa"/>
            <w:tcBorders>
              <w:top w:val="single" w:color="auto" w:sz="4" w:space="0"/>
              <w:bottom w:val="single" w:color="auto" w:sz="4" w:space="0"/>
            </w:tcBorders>
            <w:vAlign w:val="center"/>
          </w:tcPr>
          <w:p>
            <w:pPr>
              <w:spacing w:line="300" w:lineRule="exact"/>
              <w:jc w:val="center"/>
              <w:rPr>
                <w:color w:val="000000" w:themeColor="text1"/>
                <w:szCs w:val="21"/>
              </w:rPr>
            </w:pPr>
            <w:r>
              <w:rPr>
                <w:rFonts w:hint="eastAsia"/>
                <w:color w:val="000000" w:themeColor="text1"/>
                <w:szCs w:val="21"/>
                <w:lang w:val="en-US" w:eastAsia="zh-CN"/>
              </w:rPr>
              <w:t>7</w:t>
            </w:r>
          </w:p>
        </w:tc>
        <w:tc>
          <w:tcPr>
            <w:tcW w:w="977" w:type="dxa"/>
            <w:gridSpan w:val="2"/>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5.6</w:t>
            </w:r>
          </w:p>
        </w:tc>
        <w:tc>
          <w:tcPr>
            <w:tcW w:w="945" w:type="dxa"/>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4.2</w:t>
            </w:r>
          </w:p>
        </w:tc>
        <w:tc>
          <w:tcPr>
            <w:tcW w:w="953" w:type="dxa"/>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2.8</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0" w:hRule="atLeast"/>
        </w:trPr>
        <w:tc>
          <w:tcPr>
            <w:tcW w:w="465" w:type="dxa"/>
            <w:tcBorders>
              <w:bottom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3</w:t>
            </w:r>
          </w:p>
        </w:tc>
        <w:tc>
          <w:tcPr>
            <w:tcW w:w="1185" w:type="dxa"/>
            <w:tcBorders>
              <w:top w:val="single" w:color="auto" w:sz="4" w:space="0"/>
              <w:bottom w:val="single" w:color="auto" w:sz="4" w:space="0"/>
            </w:tcBorders>
            <w:vAlign w:val="center"/>
          </w:tcPr>
          <w:p>
            <w:pPr>
              <w:spacing w:line="300" w:lineRule="exact"/>
              <w:jc w:val="center"/>
              <w:rPr>
                <w:color w:val="000000" w:themeColor="text1"/>
                <w:szCs w:val="21"/>
              </w:rPr>
            </w:pPr>
            <w:r>
              <w:rPr>
                <w:rFonts w:hint="eastAsia"/>
                <w:color w:val="000000" w:themeColor="text1"/>
                <w:szCs w:val="21"/>
              </w:rPr>
              <w:t>质量质保</w:t>
            </w:r>
          </w:p>
        </w:tc>
        <w:tc>
          <w:tcPr>
            <w:tcW w:w="765" w:type="dxa"/>
            <w:tcBorders>
              <w:bottom w:val="single" w:color="auto" w:sz="4" w:space="0"/>
            </w:tcBorders>
            <w:vAlign w:val="center"/>
          </w:tcPr>
          <w:p>
            <w:pPr>
              <w:spacing w:line="300" w:lineRule="exact"/>
              <w:jc w:val="center"/>
              <w:rPr>
                <w:rFonts w:hint="eastAsia" w:eastAsia="宋体"/>
                <w:color w:val="000000" w:themeColor="text1"/>
                <w:szCs w:val="21"/>
                <w:lang w:eastAsia="zh-CN"/>
              </w:rPr>
            </w:pPr>
            <w:r>
              <w:rPr>
                <w:rFonts w:hint="eastAsia"/>
                <w:color w:val="000000" w:themeColor="text1"/>
                <w:szCs w:val="21"/>
                <w:lang w:val="en-US" w:eastAsia="zh-CN"/>
              </w:rPr>
              <w:t>8</w:t>
            </w:r>
          </w:p>
        </w:tc>
        <w:tc>
          <w:tcPr>
            <w:tcW w:w="6319" w:type="dxa"/>
            <w:tcBorders>
              <w:top w:val="single" w:color="auto" w:sz="4" w:space="0"/>
              <w:bottom w:val="single" w:color="auto" w:sz="4" w:space="0"/>
            </w:tcBorders>
            <w:vAlign w:val="center"/>
          </w:tcPr>
          <w:p>
            <w:pPr>
              <w:spacing w:line="300" w:lineRule="exact"/>
              <w:rPr>
                <w:color w:val="000000" w:themeColor="text1"/>
                <w:szCs w:val="21"/>
              </w:rPr>
            </w:pPr>
            <w:r>
              <w:rPr>
                <w:rFonts w:hint="eastAsia" w:ascii="宋体" w:hAnsi="宋体"/>
                <w:color w:val="000000" w:themeColor="text1"/>
                <w:szCs w:val="21"/>
                <w:lang w:eastAsia="zh-CN"/>
              </w:rPr>
              <w:t>对比</w:t>
            </w:r>
            <w:r>
              <w:rPr>
                <w:rFonts w:hint="eastAsia" w:ascii="宋体" w:hAnsi="宋体"/>
                <w:color w:val="000000" w:themeColor="text1"/>
                <w:szCs w:val="21"/>
              </w:rPr>
              <w:t>投标人的质量保证措施（有承诺书，且有相关的具体实施措施及</w:t>
            </w:r>
            <w:r>
              <w:rPr>
                <w:rFonts w:ascii="宋体" w:hAnsi="宋体"/>
                <w:color w:val="000000" w:themeColor="text1"/>
                <w:szCs w:val="21"/>
              </w:rPr>
              <w:t>供货计划</w:t>
            </w:r>
            <w:r>
              <w:rPr>
                <w:rFonts w:hint="eastAsia" w:ascii="宋体" w:hAnsi="宋体"/>
                <w:color w:val="000000" w:themeColor="text1"/>
                <w:szCs w:val="21"/>
              </w:rPr>
              <w:t>，制定了生产、验收、质量保证实施计划。）</w:t>
            </w:r>
          </w:p>
        </w:tc>
        <w:tc>
          <w:tcPr>
            <w:tcW w:w="1134" w:type="dxa"/>
            <w:tcBorders>
              <w:top w:val="single" w:color="auto" w:sz="4" w:space="0"/>
              <w:bottom w:val="single" w:color="auto" w:sz="4" w:space="0"/>
            </w:tcBorders>
            <w:vAlign w:val="center"/>
          </w:tcPr>
          <w:p>
            <w:pPr>
              <w:spacing w:line="300" w:lineRule="exact"/>
              <w:jc w:val="center"/>
              <w:rPr>
                <w:color w:val="000000" w:themeColor="text1"/>
                <w:szCs w:val="21"/>
              </w:rPr>
            </w:pPr>
            <w:r>
              <w:rPr>
                <w:rFonts w:hint="eastAsia"/>
                <w:color w:val="000000" w:themeColor="text1"/>
                <w:szCs w:val="21"/>
                <w:lang w:val="en-US" w:eastAsia="zh-CN"/>
              </w:rPr>
              <w:t>8</w:t>
            </w:r>
          </w:p>
        </w:tc>
        <w:tc>
          <w:tcPr>
            <w:tcW w:w="977" w:type="dxa"/>
            <w:gridSpan w:val="2"/>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6.4</w:t>
            </w:r>
          </w:p>
        </w:tc>
        <w:tc>
          <w:tcPr>
            <w:tcW w:w="945" w:type="dxa"/>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4.8</w:t>
            </w:r>
          </w:p>
        </w:tc>
        <w:tc>
          <w:tcPr>
            <w:tcW w:w="953" w:type="dxa"/>
            <w:tcBorders>
              <w:top w:val="single" w:color="auto" w:sz="4" w:space="0"/>
              <w:bottom w:val="single" w:color="auto" w:sz="4" w:space="0"/>
            </w:tcBorders>
            <w:vAlign w:val="center"/>
          </w:tcPr>
          <w:p>
            <w:pPr>
              <w:spacing w:line="300" w:lineRule="exact"/>
              <w:jc w:val="center"/>
              <w:rPr>
                <w:rFonts w:hint="default"/>
                <w:color w:val="000000" w:themeColor="text1"/>
                <w:szCs w:val="21"/>
                <w:lang w:val="en-US"/>
              </w:rPr>
            </w:pPr>
            <w:r>
              <w:rPr>
                <w:rFonts w:hint="eastAsia"/>
                <w:color w:val="000000" w:themeColor="text1"/>
                <w:szCs w:val="21"/>
                <w:lang w:val="en-US" w:eastAsia="zh-CN"/>
              </w:rPr>
              <w:t>3.2</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465" w:type="dxa"/>
            <w:tcBorders>
              <w:top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4</w:t>
            </w:r>
          </w:p>
        </w:tc>
        <w:tc>
          <w:tcPr>
            <w:tcW w:w="1185" w:type="dxa"/>
            <w:tcBorders>
              <w:top w:val="single" w:color="auto" w:sz="4" w:space="0"/>
            </w:tcBorders>
            <w:vAlign w:val="center"/>
          </w:tcPr>
          <w:p>
            <w:pPr>
              <w:spacing w:line="300" w:lineRule="exact"/>
              <w:jc w:val="center"/>
              <w:rPr>
                <w:szCs w:val="21"/>
              </w:rPr>
            </w:pPr>
            <w:r>
              <w:rPr>
                <w:rFonts w:hint="eastAsia"/>
                <w:szCs w:val="21"/>
              </w:rPr>
              <w:t>业绩</w:t>
            </w:r>
          </w:p>
        </w:tc>
        <w:tc>
          <w:tcPr>
            <w:tcW w:w="765" w:type="dxa"/>
            <w:tcBorders>
              <w:top w:val="single" w:color="auto" w:sz="4" w:space="0"/>
              <w:bottom w:val="single" w:color="auto" w:sz="4" w:space="0"/>
            </w:tcBorders>
            <w:vAlign w:val="center"/>
          </w:tcPr>
          <w:p>
            <w:pPr>
              <w:spacing w:line="300" w:lineRule="exact"/>
              <w:jc w:val="center"/>
              <w:rPr>
                <w:rFonts w:hint="eastAsia" w:eastAsia="宋体"/>
                <w:color w:val="000000"/>
                <w:szCs w:val="21"/>
                <w:lang w:val="en-US" w:eastAsia="zh-CN"/>
              </w:rPr>
            </w:pPr>
            <w:r>
              <w:rPr>
                <w:rFonts w:hint="eastAsia"/>
                <w:color w:val="000000"/>
                <w:szCs w:val="21"/>
                <w:lang w:val="en-US" w:eastAsia="zh-CN"/>
              </w:rPr>
              <w:t>20</w:t>
            </w:r>
          </w:p>
        </w:tc>
        <w:tc>
          <w:tcPr>
            <w:tcW w:w="10328" w:type="dxa"/>
            <w:gridSpan w:val="6"/>
            <w:tcBorders>
              <w:top w:val="single" w:color="auto" w:sz="4" w:space="0"/>
              <w:bottom w:val="single" w:color="auto" w:sz="4" w:space="0"/>
            </w:tcBorders>
            <w:vAlign w:val="center"/>
          </w:tcPr>
          <w:p>
            <w:pPr>
              <w:spacing w:line="300" w:lineRule="exact"/>
              <w:rPr>
                <w:szCs w:val="21"/>
              </w:rPr>
            </w:pPr>
            <w:r>
              <w:rPr>
                <w:rFonts w:hint="eastAsia"/>
                <w:szCs w:val="21"/>
              </w:rPr>
              <w:t>投标人近2年内在全国范围内完成同类货物供货的污水处理项目累计供货量业绩（开标时须提供合同或验收报告原件查验，复印件加盖投标人公章附在投标文件中，不提供原件查验不得分）</w:t>
            </w:r>
          </w:p>
          <w:p>
            <w:pPr>
              <w:spacing w:line="300" w:lineRule="exact"/>
              <w:rPr>
                <w:szCs w:val="21"/>
                <w:highlight w:val="none"/>
              </w:rPr>
            </w:pPr>
            <w:r>
              <w:rPr>
                <w:rFonts w:hint="eastAsia"/>
                <w:szCs w:val="21"/>
              </w:rPr>
              <w:t>单过硫酸氢</w:t>
            </w:r>
            <w:r>
              <w:rPr>
                <w:rFonts w:hint="eastAsia"/>
                <w:szCs w:val="21"/>
                <w:highlight w:val="none"/>
              </w:rPr>
              <w:t>钾复合消毒粉 ≤45吨的</w:t>
            </w:r>
            <w:r>
              <w:rPr>
                <w:rFonts w:hint="eastAsia"/>
                <w:szCs w:val="21"/>
                <w:highlight w:val="none"/>
                <w:lang w:eastAsia="zh-CN"/>
              </w:rPr>
              <w:t>，</w:t>
            </w:r>
            <w:r>
              <w:rPr>
                <w:rFonts w:hint="eastAsia"/>
                <w:szCs w:val="21"/>
                <w:highlight w:val="none"/>
              </w:rPr>
              <w:t>得</w:t>
            </w:r>
            <w:r>
              <w:rPr>
                <w:rFonts w:hint="eastAsia"/>
                <w:szCs w:val="21"/>
                <w:highlight w:val="none"/>
                <w:lang w:val="en-US" w:eastAsia="zh-CN"/>
              </w:rPr>
              <w:t>8</w:t>
            </w:r>
            <w:r>
              <w:rPr>
                <w:rFonts w:hint="eastAsia"/>
                <w:szCs w:val="21"/>
                <w:highlight w:val="none"/>
              </w:rPr>
              <w:t>分；</w:t>
            </w:r>
          </w:p>
          <w:p>
            <w:pPr>
              <w:spacing w:line="300" w:lineRule="exact"/>
              <w:rPr>
                <w:szCs w:val="21"/>
                <w:highlight w:val="none"/>
              </w:rPr>
            </w:pPr>
            <w:r>
              <w:rPr>
                <w:rFonts w:hint="eastAsia"/>
                <w:szCs w:val="21"/>
                <w:highlight w:val="none"/>
              </w:rPr>
              <w:t>45吨＜单过硫酸氢钾复合消毒粉≤100吨的</w:t>
            </w:r>
            <w:r>
              <w:rPr>
                <w:rFonts w:hint="eastAsia"/>
                <w:szCs w:val="21"/>
                <w:highlight w:val="none"/>
                <w:lang w:eastAsia="zh-CN"/>
              </w:rPr>
              <w:t>，</w:t>
            </w:r>
            <w:r>
              <w:rPr>
                <w:rFonts w:hint="eastAsia"/>
                <w:szCs w:val="21"/>
                <w:highlight w:val="none"/>
              </w:rPr>
              <w:t>得</w:t>
            </w:r>
            <w:r>
              <w:rPr>
                <w:rFonts w:hint="eastAsia"/>
                <w:szCs w:val="21"/>
                <w:highlight w:val="none"/>
                <w:lang w:val="en-US" w:eastAsia="zh-CN"/>
              </w:rPr>
              <w:t>12</w:t>
            </w:r>
            <w:r>
              <w:rPr>
                <w:rFonts w:hint="eastAsia"/>
                <w:szCs w:val="21"/>
                <w:highlight w:val="none"/>
              </w:rPr>
              <w:t>分；</w:t>
            </w:r>
          </w:p>
          <w:p>
            <w:pPr>
              <w:spacing w:line="300" w:lineRule="exact"/>
              <w:rPr>
                <w:szCs w:val="21"/>
                <w:highlight w:val="none"/>
              </w:rPr>
            </w:pPr>
            <w:r>
              <w:rPr>
                <w:rFonts w:hint="eastAsia"/>
                <w:szCs w:val="21"/>
                <w:highlight w:val="none"/>
              </w:rPr>
              <w:t>100吨＜单过硫酸氢钾复合消毒粉≤200吨的</w:t>
            </w:r>
            <w:r>
              <w:rPr>
                <w:rFonts w:hint="eastAsia"/>
                <w:szCs w:val="21"/>
                <w:highlight w:val="none"/>
                <w:lang w:eastAsia="zh-CN"/>
              </w:rPr>
              <w:t>，</w:t>
            </w:r>
            <w:r>
              <w:rPr>
                <w:rFonts w:hint="eastAsia"/>
                <w:szCs w:val="21"/>
                <w:highlight w:val="none"/>
              </w:rPr>
              <w:t>得</w:t>
            </w:r>
            <w:r>
              <w:rPr>
                <w:rFonts w:hint="eastAsia"/>
                <w:szCs w:val="21"/>
                <w:highlight w:val="none"/>
                <w:lang w:val="en-US" w:eastAsia="zh-CN"/>
              </w:rPr>
              <w:t>16</w:t>
            </w:r>
            <w:r>
              <w:rPr>
                <w:rFonts w:hint="eastAsia"/>
                <w:szCs w:val="21"/>
                <w:highlight w:val="none"/>
              </w:rPr>
              <w:t>分；</w:t>
            </w:r>
          </w:p>
          <w:p>
            <w:pPr>
              <w:spacing w:line="300" w:lineRule="exact"/>
              <w:rPr>
                <w:szCs w:val="21"/>
              </w:rPr>
            </w:pPr>
            <w:r>
              <w:rPr>
                <w:rFonts w:hint="eastAsia"/>
                <w:szCs w:val="21"/>
                <w:highlight w:val="none"/>
              </w:rPr>
              <w:t>单过硫酸氢钾复合消毒粉＞200吨的</w:t>
            </w:r>
            <w:r>
              <w:rPr>
                <w:rFonts w:hint="eastAsia"/>
                <w:szCs w:val="21"/>
                <w:highlight w:val="none"/>
                <w:lang w:eastAsia="zh-CN"/>
              </w:rPr>
              <w:t>，</w:t>
            </w:r>
            <w:r>
              <w:rPr>
                <w:rFonts w:hint="eastAsia"/>
                <w:szCs w:val="21"/>
                <w:highlight w:val="none"/>
              </w:rPr>
              <w:t>得</w:t>
            </w:r>
            <w:r>
              <w:rPr>
                <w:rFonts w:hint="eastAsia"/>
                <w:szCs w:val="21"/>
                <w:highlight w:val="none"/>
                <w:lang w:val="en-US" w:eastAsia="zh-CN"/>
              </w:rPr>
              <w:t>20</w:t>
            </w:r>
            <w:r>
              <w:rPr>
                <w:rFonts w:hint="eastAsia"/>
                <w:szCs w:val="21"/>
                <w:highlight w:val="none"/>
              </w:rPr>
              <w:t>分；</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0" w:hRule="atLeast"/>
        </w:trPr>
        <w:tc>
          <w:tcPr>
            <w:tcW w:w="465" w:type="dxa"/>
            <w:tcBorders>
              <w:top w:val="single" w:color="auto" w:sz="4" w:space="0"/>
              <w:bottom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5</w:t>
            </w:r>
          </w:p>
        </w:tc>
        <w:tc>
          <w:tcPr>
            <w:tcW w:w="1185" w:type="dxa"/>
            <w:tcBorders>
              <w:top w:val="single" w:color="auto" w:sz="4" w:space="0"/>
              <w:bottom w:val="single" w:color="auto" w:sz="4" w:space="0"/>
            </w:tcBorders>
            <w:vAlign w:val="center"/>
          </w:tcPr>
          <w:p>
            <w:pPr>
              <w:spacing w:line="300" w:lineRule="exact"/>
              <w:jc w:val="center"/>
              <w:rPr>
                <w:szCs w:val="21"/>
              </w:rPr>
            </w:pPr>
            <w:r>
              <w:rPr>
                <w:rFonts w:hint="eastAsia"/>
                <w:szCs w:val="21"/>
              </w:rPr>
              <w:t>技术方案</w:t>
            </w:r>
          </w:p>
        </w:tc>
        <w:tc>
          <w:tcPr>
            <w:tcW w:w="765" w:type="dxa"/>
            <w:tcBorders>
              <w:top w:val="single" w:color="auto" w:sz="4" w:space="0"/>
              <w:bottom w:val="single" w:color="auto" w:sz="4" w:space="0"/>
            </w:tcBorders>
            <w:vAlign w:val="center"/>
          </w:tcPr>
          <w:p>
            <w:pPr>
              <w:spacing w:line="300" w:lineRule="exact"/>
              <w:jc w:val="center"/>
              <w:rPr>
                <w:rFonts w:hint="default" w:eastAsia="宋体"/>
                <w:color w:val="000000"/>
                <w:szCs w:val="21"/>
                <w:lang w:val="en-US" w:eastAsia="zh-CN"/>
              </w:rPr>
            </w:pPr>
            <w:r>
              <w:rPr>
                <w:rFonts w:hint="eastAsia"/>
                <w:color w:val="000000"/>
                <w:szCs w:val="21"/>
                <w:lang w:val="en-US" w:eastAsia="zh-CN"/>
              </w:rPr>
              <w:t>10</w:t>
            </w:r>
          </w:p>
        </w:tc>
        <w:tc>
          <w:tcPr>
            <w:tcW w:w="6319" w:type="dxa"/>
            <w:tcBorders>
              <w:top w:val="single" w:color="auto" w:sz="4" w:space="0"/>
              <w:bottom w:val="single" w:color="auto" w:sz="4" w:space="0"/>
            </w:tcBorders>
            <w:vAlign w:val="center"/>
          </w:tcPr>
          <w:p>
            <w:pPr>
              <w:spacing w:line="300" w:lineRule="exact"/>
              <w:rPr>
                <w:szCs w:val="21"/>
              </w:rPr>
            </w:pPr>
            <w:r>
              <w:rPr>
                <w:rFonts w:hint="eastAsia" w:ascii="宋体" w:hAnsi="宋体"/>
                <w:color w:val="000000"/>
                <w:szCs w:val="21"/>
                <w:lang w:eastAsia="zh-CN"/>
              </w:rPr>
              <w:t>对比投标人的</w:t>
            </w:r>
            <w:r>
              <w:rPr>
                <w:rFonts w:hint="eastAsia" w:ascii="宋体" w:hAnsi="宋体"/>
                <w:color w:val="000000"/>
                <w:szCs w:val="21"/>
              </w:rPr>
              <w:t>技术方案（针对本项目有提供具体可行、详细的服务方案，完全满足项目的要求（</w:t>
            </w:r>
            <w:r>
              <w:rPr>
                <w:rFonts w:ascii="宋体" w:hAnsi="宋体"/>
                <w:color w:val="000000"/>
                <w:szCs w:val="21"/>
              </w:rPr>
              <w:t>设备安装</w:t>
            </w:r>
            <w:r>
              <w:rPr>
                <w:rFonts w:hint="eastAsia" w:ascii="宋体" w:hAnsi="宋体"/>
                <w:color w:val="000000"/>
                <w:szCs w:val="21"/>
              </w:rPr>
              <w:t>调试</w:t>
            </w:r>
            <w:r>
              <w:rPr>
                <w:rFonts w:ascii="宋体" w:hAnsi="宋体"/>
                <w:color w:val="000000"/>
                <w:szCs w:val="21"/>
              </w:rPr>
              <w:t>、</w:t>
            </w:r>
            <w:r>
              <w:rPr>
                <w:rFonts w:hint="eastAsia" w:ascii="宋体" w:hAnsi="宋体"/>
                <w:color w:val="000000"/>
                <w:szCs w:val="21"/>
              </w:rPr>
              <w:t>送样</w:t>
            </w:r>
            <w:r>
              <w:rPr>
                <w:rFonts w:ascii="宋体" w:hAnsi="宋体"/>
                <w:color w:val="000000"/>
                <w:szCs w:val="21"/>
              </w:rPr>
              <w:t>试生产、供货等</w:t>
            </w:r>
            <w:r>
              <w:rPr>
                <w:rFonts w:hint="eastAsia" w:ascii="宋体" w:hAnsi="宋体"/>
                <w:color w:val="000000"/>
                <w:szCs w:val="21"/>
              </w:rPr>
              <w:t>）</w:t>
            </w:r>
          </w:p>
        </w:tc>
        <w:tc>
          <w:tcPr>
            <w:tcW w:w="1134" w:type="dxa"/>
            <w:tcBorders>
              <w:top w:val="single" w:color="auto" w:sz="4" w:space="0"/>
              <w:bottom w:val="single" w:color="auto" w:sz="4" w:space="0"/>
            </w:tcBorders>
            <w:vAlign w:val="center"/>
          </w:tcPr>
          <w:p>
            <w:pPr>
              <w:spacing w:line="300" w:lineRule="exact"/>
              <w:jc w:val="center"/>
              <w:rPr>
                <w:rFonts w:hint="default" w:eastAsia="宋体"/>
                <w:szCs w:val="21"/>
                <w:lang w:val="en-US" w:eastAsia="zh-CN"/>
              </w:rPr>
            </w:pPr>
            <w:r>
              <w:rPr>
                <w:rFonts w:hint="eastAsia"/>
                <w:szCs w:val="21"/>
                <w:lang w:val="en-US" w:eastAsia="zh-CN"/>
              </w:rPr>
              <w:t>10</w:t>
            </w:r>
          </w:p>
        </w:tc>
        <w:tc>
          <w:tcPr>
            <w:tcW w:w="962" w:type="dxa"/>
            <w:tcBorders>
              <w:top w:val="single" w:color="auto" w:sz="4" w:space="0"/>
              <w:bottom w:val="single" w:color="auto" w:sz="4" w:space="0"/>
            </w:tcBorders>
            <w:vAlign w:val="center"/>
          </w:tcPr>
          <w:p>
            <w:pPr>
              <w:spacing w:line="300" w:lineRule="exact"/>
              <w:jc w:val="center"/>
              <w:rPr>
                <w:rFonts w:hint="default" w:eastAsia="宋体"/>
                <w:szCs w:val="21"/>
                <w:lang w:val="en-US" w:eastAsia="zh-CN"/>
              </w:rPr>
            </w:pPr>
            <w:r>
              <w:rPr>
                <w:rFonts w:hint="eastAsia"/>
                <w:szCs w:val="21"/>
                <w:lang w:val="en-US" w:eastAsia="zh-CN"/>
              </w:rPr>
              <w:t>8</w:t>
            </w:r>
          </w:p>
        </w:tc>
        <w:tc>
          <w:tcPr>
            <w:tcW w:w="960" w:type="dxa"/>
            <w:gridSpan w:val="2"/>
            <w:tcBorders>
              <w:top w:val="single" w:color="auto" w:sz="4" w:space="0"/>
              <w:bottom w:val="single" w:color="auto" w:sz="4" w:space="0"/>
            </w:tcBorders>
            <w:vAlign w:val="center"/>
          </w:tcPr>
          <w:p>
            <w:pPr>
              <w:spacing w:line="300" w:lineRule="exact"/>
              <w:jc w:val="center"/>
              <w:rPr>
                <w:rFonts w:hint="default" w:eastAsia="宋体"/>
                <w:szCs w:val="21"/>
                <w:lang w:val="en-US" w:eastAsia="zh-CN"/>
              </w:rPr>
            </w:pPr>
            <w:r>
              <w:rPr>
                <w:rFonts w:hint="eastAsia"/>
                <w:szCs w:val="21"/>
                <w:lang w:val="en-US" w:eastAsia="zh-CN"/>
              </w:rPr>
              <w:t>6</w:t>
            </w:r>
          </w:p>
        </w:tc>
        <w:tc>
          <w:tcPr>
            <w:tcW w:w="953" w:type="dxa"/>
            <w:tcBorders>
              <w:top w:val="single" w:color="auto" w:sz="4" w:space="0"/>
              <w:bottom w:val="single" w:color="auto" w:sz="4" w:space="0"/>
            </w:tcBorders>
            <w:vAlign w:val="center"/>
          </w:tcPr>
          <w:p>
            <w:pPr>
              <w:spacing w:line="300" w:lineRule="exact"/>
              <w:jc w:val="center"/>
              <w:rPr>
                <w:rFonts w:hint="default" w:eastAsia="宋体"/>
                <w:szCs w:val="21"/>
                <w:lang w:val="en-US" w:eastAsia="zh-CN"/>
              </w:rPr>
            </w:pPr>
            <w:r>
              <w:rPr>
                <w:rFonts w:hint="eastAsia"/>
                <w:szCs w:val="21"/>
                <w:lang w:val="en-US" w:eastAsia="zh-CN"/>
              </w:rPr>
              <w:t>4</w:t>
            </w:r>
          </w:p>
        </w:tc>
        <w:tc>
          <w:tcPr>
            <w:tcW w:w="1177" w:type="dxa"/>
            <w:tcBorders>
              <w:top w:val="single" w:color="auto" w:sz="4" w:space="0"/>
              <w:bottom w:val="single" w:color="auto" w:sz="4" w:space="0"/>
            </w:tcBorders>
            <w:vAlign w:val="center"/>
          </w:tcPr>
          <w:p>
            <w:pPr>
              <w:jc w:val="center"/>
              <w:rPr>
                <w:color w:val="000000"/>
                <w:szCs w:val="21"/>
              </w:rPr>
            </w:pPr>
          </w:p>
        </w:tc>
        <w:tc>
          <w:tcPr>
            <w:tcW w:w="1230" w:type="dxa"/>
            <w:tcBorders>
              <w:top w:val="single" w:color="auto" w:sz="4" w:space="0"/>
              <w:bottom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3" w:hRule="atLeast"/>
        </w:trPr>
        <w:tc>
          <w:tcPr>
            <w:tcW w:w="465" w:type="dxa"/>
            <w:tcBorders>
              <w:top w:val="single" w:color="auto" w:sz="4" w:space="0"/>
              <w:bottom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6</w:t>
            </w:r>
          </w:p>
        </w:tc>
        <w:tc>
          <w:tcPr>
            <w:tcW w:w="1185" w:type="dxa"/>
            <w:tcBorders>
              <w:top w:val="single" w:color="auto" w:sz="4" w:space="0"/>
              <w:bottom w:val="single" w:color="auto" w:sz="4" w:space="0"/>
            </w:tcBorders>
            <w:vAlign w:val="center"/>
          </w:tcPr>
          <w:p>
            <w:pPr>
              <w:spacing w:line="300" w:lineRule="exact"/>
              <w:jc w:val="center"/>
              <w:rPr>
                <w:szCs w:val="21"/>
              </w:rPr>
            </w:pPr>
            <w:r>
              <w:rPr>
                <w:rFonts w:hint="eastAsia"/>
                <w:szCs w:val="21"/>
              </w:rPr>
              <w:t>配套设备</w:t>
            </w:r>
          </w:p>
        </w:tc>
        <w:tc>
          <w:tcPr>
            <w:tcW w:w="765" w:type="dxa"/>
            <w:tcBorders>
              <w:top w:val="single" w:color="auto" w:sz="4" w:space="0"/>
              <w:bottom w:val="single" w:color="auto" w:sz="4" w:space="0"/>
            </w:tcBorders>
            <w:vAlign w:val="center"/>
          </w:tcPr>
          <w:p>
            <w:pPr>
              <w:spacing w:line="300" w:lineRule="exact"/>
              <w:jc w:val="center"/>
              <w:rPr>
                <w:color w:val="000000"/>
                <w:szCs w:val="21"/>
              </w:rPr>
            </w:pPr>
            <w:r>
              <w:rPr>
                <w:rFonts w:hint="eastAsia"/>
                <w:color w:val="000000"/>
                <w:szCs w:val="21"/>
              </w:rPr>
              <w:t>10</w:t>
            </w:r>
          </w:p>
        </w:tc>
        <w:tc>
          <w:tcPr>
            <w:tcW w:w="6319" w:type="dxa"/>
            <w:tcBorders>
              <w:top w:val="single" w:color="auto" w:sz="4" w:space="0"/>
            </w:tcBorders>
            <w:vAlign w:val="center"/>
          </w:tcPr>
          <w:p>
            <w:pPr>
              <w:spacing w:line="300" w:lineRule="exact"/>
              <w:rPr>
                <w:szCs w:val="21"/>
              </w:rPr>
            </w:pPr>
            <w:r>
              <w:rPr>
                <w:rFonts w:hint="eastAsia" w:ascii="宋体" w:hAnsi="宋体"/>
                <w:color w:val="000000"/>
                <w:szCs w:val="21"/>
                <w:lang w:eastAsia="zh-CN"/>
              </w:rPr>
              <w:t>对比投标人的</w:t>
            </w:r>
            <w:r>
              <w:rPr>
                <w:rFonts w:hint="eastAsia" w:ascii="宋体" w:hAnsi="宋体"/>
                <w:color w:val="000000"/>
                <w:szCs w:val="21"/>
              </w:rPr>
              <w:t>产品配套</w:t>
            </w:r>
            <w:r>
              <w:rPr>
                <w:rFonts w:ascii="宋体" w:hAnsi="宋体"/>
                <w:color w:val="000000"/>
                <w:szCs w:val="21"/>
              </w:rPr>
              <w:t>设备</w:t>
            </w:r>
            <w:r>
              <w:rPr>
                <w:rFonts w:hint="eastAsia" w:ascii="宋体" w:hAnsi="宋体"/>
                <w:color w:val="000000"/>
                <w:szCs w:val="21"/>
              </w:rPr>
              <w:t>（针对</w:t>
            </w:r>
            <w:r>
              <w:rPr>
                <w:rFonts w:ascii="宋体" w:hAnsi="宋体"/>
                <w:color w:val="000000"/>
                <w:szCs w:val="21"/>
              </w:rPr>
              <w:t>产品使用配套快速</w:t>
            </w:r>
            <w:r>
              <w:rPr>
                <w:rFonts w:hint="eastAsia" w:ascii="宋体" w:hAnsi="宋体"/>
                <w:color w:val="000000"/>
                <w:szCs w:val="21"/>
              </w:rPr>
              <w:t>溶解</w:t>
            </w:r>
            <w:r>
              <w:rPr>
                <w:rFonts w:ascii="宋体" w:hAnsi="宋体"/>
                <w:color w:val="000000"/>
                <w:szCs w:val="21"/>
              </w:rPr>
              <w:t>设备</w:t>
            </w:r>
            <w:r>
              <w:rPr>
                <w:rFonts w:hint="eastAsia" w:ascii="宋体" w:hAnsi="宋体"/>
                <w:color w:val="000000"/>
                <w:szCs w:val="21"/>
              </w:rPr>
              <w:t>的易用性</w:t>
            </w:r>
            <w:r>
              <w:rPr>
                <w:rFonts w:ascii="宋体" w:hAnsi="宋体"/>
                <w:color w:val="000000"/>
                <w:szCs w:val="21"/>
              </w:rPr>
              <w:t>、可靠性</w:t>
            </w:r>
            <w:r>
              <w:rPr>
                <w:rFonts w:hint="eastAsia" w:ascii="宋体" w:hAnsi="宋体"/>
                <w:color w:val="000000"/>
                <w:szCs w:val="21"/>
              </w:rPr>
              <w:t>、节能程度以及</w:t>
            </w:r>
            <w:r>
              <w:rPr>
                <w:rFonts w:ascii="宋体" w:hAnsi="宋体"/>
                <w:color w:val="000000"/>
                <w:szCs w:val="21"/>
              </w:rPr>
              <w:t>性能参数满足要求程度</w:t>
            </w:r>
            <w:r>
              <w:rPr>
                <w:rFonts w:hint="eastAsia" w:ascii="宋体" w:hAnsi="宋体"/>
                <w:color w:val="000000"/>
                <w:szCs w:val="21"/>
              </w:rPr>
              <w:t>。）</w:t>
            </w:r>
          </w:p>
        </w:tc>
        <w:tc>
          <w:tcPr>
            <w:tcW w:w="1134" w:type="dxa"/>
            <w:tcBorders>
              <w:top w:val="single" w:color="auto" w:sz="4" w:space="0"/>
            </w:tcBorders>
            <w:vAlign w:val="center"/>
          </w:tcPr>
          <w:p>
            <w:pPr>
              <w:spacing w:line="300" w:lineRule="exact"/>
              <w:jc w:val="center"/>
              <w:rPr>
                <w:szCs w:val="21"/>
              </w:rPr>
            </w:pPr>
            <w:r>
              <w:rPr>
                <w:rFonts w:hint="eastAsia"/>
                <w:szCs w:val="21"/>
                <w:lang w:val="en-US" w:eastAsia="zh-CN"/>
              </w:rPr>
              <w:t>10</w:t>
            </w:r>
          </w:p>
        </w:tc>
        <w:tc>
          <w:tcPr>
            <w:tcW w:w="962" w:type="dxa"/>
            <w:tcBorders>
              <w:top w:val="single" w:color="auto" w:sz="4" w:space="0"/>
            </w:tcBorders>
            <w:vAlign w:val="center"/>
          </w:tcPr>
          <w:p>
            <w:pPr>
              <w:spacing w:line="300" w:lineRule="exact"/>
              <w:jc w:val="center"/>
              <w:rPr>
                <w:szCs w:val="21"/>
              </w:rPr>
            </w:pPr>
            <w:r>
              <w:rPr>
                <w:rFonts w:hint="eastAsia"/>
                <w:szCs w:val="21"/>
                <w:lang w:val="en-US" w:eastAsia="zh-CN"/>
              </w:rPr>
              <w:t>8</w:t>
            </w:r>
          </w:p>
        </w:tc>
        <w:tc>
          <w:tcPr>
            <w:tcW w:w="960" w:type="dxa"/>
            <w:gridSpan w:val="2"/>
            <w:tcBorders>
              <w:top w:val="single" w:color="auto" w:sz="4" w:space="0"/>
            </w:tcBorders>
            <w:vAlign w:val="center"/>
          </w:tcPr>
          <w:p>
            <w:pPr>
              <w:spacing w:line="300" w:lineRule="exact"/>
              <w:jc w:val="center"/>
              <w:rPr>
                <w:szCs w:val="21"/>
              </w:rPr>
            </w:pPr>
            <w:r>
              <w:rPr>
                <w:rFonts w:hint="eastAsia"/>
                <w:szCs w:val="21"/>
                <w:lang w:val="en-US" w:eastAsia="zh-CN"/>
              </w:rPr>
              <w:t>6</w:t>
            </w:r>
          </w:p>
        </w:tc>
        <w:tc>
          <w:tcPr>
            <w:tcW w:w="953" w:type="dxa"/>
            <w:tcBorders>
              <w:top w:val="single" w:color="auto" w:sz="4" w:space="0"/>
            </w:tcBorders>
            <w:vAlign w:val="center"/>
          </w:tcPr>
          <w:p>
            <w:pPr>
              <w:spacing w:line="300" w:lineRule="exact"/>
              <w:jc w:val="center"/>
              <w:rPr>
                <w:szCs w:val="21"/>
              </w:rPr>
            </w:pPr>
            <w:r>
              <w:rPr>
                <w:rFonts w:hint="eastAsia"/>
                <w:szCs w:val="21"/>
                <w:lang w:val="en-US" w:eastAsia="zh-CN"/>
              </w:rPr>
              <w:t>4</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3" w:hRule="atLeast"/>
        </w:trPr>
        <w:tc>
          <w:tcPr>
            <w:tcW w:w="465" w:type="dxa"/>
            <w:tcBorders>
              <w:top w:val="single" w:color="auto" w:sz="4" w:space="0"/>
              <w:bottom w:val="single" w:color="auto" w:sz="4" w:space="0"/>
            </w:tcBorders>
            <w:vAlign w:val="center"/>
          </w:tcPr>
          <w:p>
            <w:pPr>
              <w:spacing w:line="360" w:lineRule="exact"/>
              <w:jc w:val="center"/>
              <w:rPr>
                <w:rFonts w:hint="default"/>
                <w:color w:val="000000"/>
                <w:szCs w:val="21"/>
                <w:lang w:val="en-US" w:eastAsia="zh-CN"/>
              </w:rPr>
            </w:pPr>
            <w:r>
              <w:rPr>
                <w:rFonts w:hint="eastAsia"/>
                <w:color w:val="000000"/>
                <w:szCs w:val="21"/>
                <w:lang w:val="en-US" w:eastAsia="zh-CN"/>
              </w:rPr>
              <w:t>7</w:t>
            </w:r>
          </w:p>
        </w:tc>
        <w:tc>
          <w:tcPr>
            <w:tcW w:w="1185" w:type="dxa"/>
            <w:tcBorders>
              <w:top w:val="single" w:color="auto" w:sz="4" w:space="0"/>
              <w:bottom w:val="single" w:color="auto" w:sz="4" w:space="0"/>
            </w:tcBorders>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产品认证</w:t>
            </w:r>
          </w:p>
        </w:tc>
        <w:tc>
          <w:tcPr>
            <w:tcW w:w="765" w:type="dxa"/>
            <w:tcBorders>
              <w:top w:val="single" w:color="auto" w:sz="4" w:space="0"/>
              <w:bottom w:val="single" w:color="auto" w:sz="4" w:space="0"/>
            </w:tcBorders>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10</w:t>
            </w:r>
          </w:p>
        </w:tc>
        <w:tc>
          <w:tcPr>
            <w:tcW w:w="10328" w:type="dxa"/>
            <w:gridSpan w:val="6"/>
            <w:tcBorders>
              <w:top w:val="single" w:color="auto" w:sz="4" w:space="0"/>
            </w:tcBorders>
            <w:vAlign w:val="center"/>
          </w:tcPr>
          <w:p>
            <w:pPr>
              <w:spacing w:line="300" w:lineRule="exact"/>
              <w:rPr>
                <w:rFonts w:hint="eastAsia"/>
                <w:color w:val="000000" w:themeColor="text1"/>
                <w:szCs w:val="21"/>
                <w:lang w:val="en-US" w:eastAsia="zh-CN"/>
              </w:rPr>
            </w:pPr>
            <w:r>
              <w:rPr>
                <w:rFonts w:hint="eastAsia" w:asciiTheme="minorEastAsia" w:hAnsiTheme="minorEastAsia" w:eastAsiaTheme="minorEastAsia" w:cstheme="minorEastAsia"/>
                <w:color w:val="000000" w:themeColor="text1"/>
                <w:sz w:val="21"/>
                <w:szCs w:val="21"/>
                <w:lang w:eastAsia="zh-CN"/>
              </w:rPr>
              <w:t>对比</w:t>
            </w:r>
            <w:r>
              <w:rPr>
                <w:rFonts w:hint="eastAsia" w:asciiTheme="minorEastAsia" w:hAnsiTheme="minorEastAsia" w:eastAsiaTheme="minorEastAsia" w:cstheme="minorEastAsia"/>
                <w:color w:val="000000" w:themeColor="text1"/>
                <w:sz w:val="21"/>
                <w:szCs w:val="21"/>
              </w:rPr>
              <w:t>投标人</w:t>
            </w:r>
            <w:r>
              <w:rPr>
                <w:rFonts w:hint="eastAsia" w:asciiTheme="minorEastAsia" w:hAnsiTheme="minorEastAsia" w:eastAsiaTheme="minorEastAsia" w:cstheme="minorEastAsia"/>
                <w:color w:val="000000" w:themeColor="text1"/>
                <w:sz w:val="21"/>
                <w:szCs w:val="21"/>
                <w:lang w:eastAsia="zh-CN"/>
              </w:rPr>
              <w:t>产品获得的中国环境标志产品认证（产品通过</w:t>
            </w:r>
            <w:r>
              <w:rPr>
                <w:rFonts w:hint="eastAsia" w:asciiTheme="minorEastAsia" w:hAnsiTheme="minorEastAsia" w:eastAsiaTheme="minorEastAsia" w:cstheme="minorEastAsia"/>
                <w:color w:val="000000" w:themeColor="text1"/>
                <w:sz w:val="21"/>
                <w:szCs w:val="21"/>
              </w:rPr>
              <w:t>相关权威</w:t>
            </w:r>
            <w:r>
              <w:rPr>
                <w:rFonts w:hint="eastAsia" w:asciiTheme="minorEastAsia" w:hAnsiTheme="minorEastAsia" w:eastAsiaTheme="minorEastAsia" w:cstheme="minorEastAsia"/>
                <w:color w:val="000000" w:themeColor="text1"/>
                <w:sz w:val="21"/>
                <w:szCs w:val="21"/>
                <w:lang w:eastAsia="zh-CN"/>
              </w:rPr>
              <w:t>第三方</w:t>
            </w:r>
            <w:r>
              <w:rPr>
                <w:rFonts w:hint="eastAsia" w:asciiTheme="minorEastAsia" w:hAnsiTheme="minorEastAsia" w:eastAsiaTheme="minorEastAsia" w:cstheme="minorEastAsia"/>
                <w:color w:val="000000" w:themeColor="text1"/>
                <w:sz w:val="21"/>
                <w:szCs w:val="21"/>
              </w:rPr>
              <w:t>机构</w:t>
            </w:r>
            <w:r>
              <w:rPr>
                <w:rFonts w:hint="eastAsia" w:asciiTheme="minorEastAsia" w:hAnsiTheme="minorEastAsia" w:eastAsiaTheme="minorEastAsia" w:cstheme="minorEastAsia"/>
                <w:color w:val="000000" w:themeColor="text1"/>
                <w:sz w:val="21"/>
                <w:szCs w:val="21"/>
                <w:lang w:eastAsia="zh-CN"/>
              </w:rPr>
              <w:t>验证或认证，并取得相关证书且在有效期内，</w:t>
            </w:r>
            <w:r>
              <w:rPr>
                <w:rFonts w:hint="eastAsia"/>
                <w:color w:val="000000" w:themeColor="text1"/>
                <w:szCs w:val="21"/>
              </w:rPr>
              <w:t>开标时须提供原件查验，复印件加盖投标人公章附在投标文件中，不提供原件查验不得分</w:t>
            </w:r>
            <w:r>
              <w:rPr>
                <w:rFonts w:hint="eastAsia" w:asciiTheme="minorEastAsia" w:hAnsiTheme="minorEastAsia" w:eastAsiaTheme="minorEastAsia" w:cstheme="minorEastAsia"/>
                <w:color w:val="000000" w:themeColor="text1"/>
                <w:sz w:val="21"/>
                <w:szCs w:val="21"/>
                <w:lang w:eastAsia="zh-CN"/>
              </w:rPr>
              <w:t>），其中取得国家级机构认证的得</w:t>
            </w:r>
            <w:r>
              <w:rPr>
                <w:rFonts w:hint="eastAsia" w:asciiTheme="minorEastAsia" w:hAnsiTheme="minorEastAsia" w:eastAsiaTheme="minorEastAsia" w:cstheme="minorEastAsia"/>
                <w:color w:val="000000" w:themeColor="text1"/>
                <w:sz w:val="21"/>
                <w:szCs w:val="21"/>
                <w:lang w:val="en-US" w:eastAsia="zh-CN"/>
              </w:rPr>
              <w:t>10分，</w:t>
            </w:r>
            <w:r>
              <w:rPr>
                <w:rFonts w:hint="eastAsia" w:asciiTheme="minorEastAsia" w:hAnsiTheme="minorEastAsia" w:eastAsiaTheme="minorEastAsia" w:cstheme="minorEastAsia"/>
                <w:color w:val="000000" w:themeColor="text1"/>
                <w:sz w:val="21"/>
                <w:szCs w:val="21"/>
                <w:lang w:eastAsia="zh-CN"/>
              </w:rPr>
              <w:t>取得省级机构认证的得</w:t>
            </w:r>
            <w:r>
              <w:rPr>
                <w:rFonts w:hint="eastAsia" w:asciiTheme="minorEastAsia" w:hAnsiTheme="minorEastAsia" w:eastAsiaTheme="minorEastAsia" w:cstheme="minorEastAsia"/>
                <w:color w:val="000000" w:themeColor="text1"/>
                <w:sz w:val="21"/>
                <w:szCs w:val="21"/>
                <w:lang w:val="en-US" w:eastAsia="zh-CN"/>
              </w:rPr>
              <w:t>6分</w:t>
            </w:r>
            <w:r>
              <w:rPr>
                <w:rFonts w:hint="eastAsia"/>
                <w:color w:val="000000" w:themeColor="text1"/>
                <w:szCs w:val="21"/>
                <w:lang w:val="en-US" w:eastAsia="zh-CN"/>
              </w:rPr>
              <w:t>，</w:t>
            </w:r>
            <w:r>
              <w:rPr>
                <w:rFonts w:hint="eastAsia" w:asciiTheme="minorEastAsia" w:hAnsiTheme="minorEastAsia" w:eastAsiaTheme="minorEastAsia" w:cstheme="minorEastAsia"/>
                <w:color w:val="000000" w:themeColor="text1"/>
                <w:sz w:val="21"/>
                <w:szCs w:val="21"/>
                <w:lang w:eastAsia="zh-CN"/>
              </w:rPr>
              <w:t>取得市级机构认证的得</w:t>
            </w:r>
            <w:r>
              <w:rPr>
                <w:rFonts w:hint="eastAsia" w:asciiTheme="minorEastAsia" w:hAnsiTheme="minorEastAsia" w:eastAsiaTheme="minorEastAsia" w:cstheme="minorEastAsia"/>
                <w:color w:val="000000" w:themeColor="text1"/>
                <w:sz w:val="21"/>
                <w:szCs w:val="21"/>
                <w:lang w:val="en-US" w:eastAsia="zh-CN"/>
              </w:rPr>
              <w:t>2分。</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3" w:hRule="atLeast"/>
        </w:trPr>
        <w:tc>
          <w:tcPr>
            <w:tcW w:w="465" w:type="dxa"/>
            <w:tcBorders>
              <w:top w:val="single" w:color="auto" w:sz="4" w:space="0"/>
              <w:bottom w:val="single" w:color="auto" w:sz="4" w:space="0"/>
            </w:tcBorders>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8</w:t>
            </w:r>
          </w:p>
        </w:tc>
        <w:tc>
          <w:tcPr>
            <w:tcW w:w="1185" w:type="dxa"/>
            <w:tcBorders>
              <w:top w:val="single" w:color="auto" w:sz="4" w:space="0"/>
              <w:bottom w:val="single" w:color="auto" w:sz="4" w:space="0"/>
            </w:tcBorders>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产品</w:t>
            </w:r>
          </w:p>
          <w:p>
            <w:pPr>
              <w:spacing w:line="300" w:lineRule="exact"/>
              <w:jc w:val="center"/>
              <w:rPr>
                <w:color w:val="000000" w:themeColor="text1"/>
                <w:szCs w:val="21"/>
              </w:rPr>
            </w:pPr>
            <w:r>
              <w:rPr>
                <w:rFonts w:hint="eastAsia" w:ascii="宋体" w:hAnsi="宋体"/>
                <w:color w:val="000000" w:themeColor="text1"/>
                <w:szCs w:val="21"/>
              </w:rPr>
              <w:t>可靠性</w:t>
            </w:r>
          </w:p>
        </w:tc>
        <w:tc>
          <w:tcPr>
            <w:tcW w:w="765" w:type="dxa"/>
            <w:tcBorders>
              <w:top w:val="single" w:color="auto" w:sz="4" w:space="0"/>
              <w:bottom w:val="single" w:color="auto" w:sz="4" w:space="0"/>
            </w:tcBorders>
            <w:vAlign w:val="center"/>
          </w:tcPr>
          <w:p>
            <w:pPr>
              <w:spacing w:line="300" w:lineRule="exact"/>
              <w:jc w:val="center"/>
              <w:rPr>
                <w:color w:val="000000" w:themeColor="text1"/>
                <w:szCs w:val="21"/>
              </w:rPr>
            </w:pPr>
            <w:r>
              <w:rPr>
                <w:rFonts w:hint="eastAsia"/>
                <w:color w:val="000000" w:themeColor="text1"/>
                <w:szCs w:val="21"/>
              </w:rPr>
              <w:t>5</w:t>
            </w:r>
          </w:p>
        </w:tc>
        <w:tc>
          <w:tcPr>
            <w:tcW w:w="10328" w:type="dxa"/>
            <w:gridSpan w:val="6"/>
            <w:tcBorders>
              <w:top w:val="single" w:color="auto" w:sz="4" w:space="0"/>
            </w:tcBorders>
            <w:vAlign w:val="center"/>
          </w:tcPr>
          <w:p>
            <w:pPr>
              <w:spacing w:line="300" w:lineRule="exact"/>
              <w:rPr>
                <w:color w:val="000000" w:themeColor="text1"/>
                <w:szCs w:val="21"/>
              </w:rPr>
            </w:pPr>
            <w:r>
              <w:rPr>
                <w:rFonts w:hint="eastAsia" w:ascii="宋体" w:hAnsi="宋体"/>
                <w:color w:val="000000" w:themeColor="text1"/>
                <w:szCs w:val="21"/>
              </w:rPr>
              <w:t>对比</w:t>
            </w:r>
            <w:r>
              <w:rPr>
                <w:rFonts w:hint="eastAsia" w:ascii="宋体" w:hAnsi="宋体"/>
                <w:color w:val="000000" w:themeColor="text1"/>
                <w:szCs w:val="21"/>
                <w:lang w:eastAsia="zh-CN"/>
              </w:rPr>
              <w:t>投标人产品的消毒效果、环保安全性、稳定性，提供最新的（近一年）产品检验报告（</w:t>
            </w:r>
            <w:r>
              <w:rPr>
                <w:rFonts w:hint="eastAsia"/>
                <w:color w:val="000000" w:themeColor="text1"/>
                <w:szCs w:val="21"/>
              </w:rPr>
              <w:t>开标时须提供</w:t>
            </w:r>
            <w:r>
              <w:rPr>
                <w:rFonts w:hint="eastAsia"/>
                <w:color w:val="000000" w:themeColor="text1"/>
                <w:szCs w:val="21"/>
                <w:lang w:eastAsia="zh-CN"/>
              </w:rPr>
              <w:t>检验</w:t>
            </w:r>
            <w:r>
              <w:rPr>
                <w:rFonts w:hint="eastAsia"/>
                <w:color w:val="000000" w:themeColor="text1"/>
                <w:szCs w:val="21"/>
              </w:rPr>
              <w:t>报告原件查验，复印件加盖投标人公章附在投标文件中，不提供原件查验不得分）</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74" w:hRule="atLeast"/>
        </w:trPr>
        <w:tc>
          <w:tcPr>
            <w:tcW w:w="465" w:type="dxa"/>
            <w:tcBorders>
              <w:bottom w:val="single" w:color="auto" w:sz="4" w:space="0"/>
            </w:tcBorders>
            <w:vAlign w:val="center"/>
          </w:tcPr>
          <w:p>
            <w:pPr>
              <w:jc w:val="center"/>
              <w:rPr>
                <w:rFonts w:hint="default" w:eastAsia="宋体"/>
                <w:color w:val="000000"/>
                <w:szCs w:val="21"/>
                <w:lang w:val="en-US" w:eastAsia="zh-CN"/>
              </w:rPr>
            </w:pPr>
            <w:r>
              <w:rPr>
                <w:rFonts w:hint="eastAsia"/>
                <w:color w:val="000000"/>
                <w:szCs w:val="21"/>
                <w:lang w:val="en-US" w:eastAsia="zh-CN"/>
              </w:rPr>
              <w:t>9</w:t>
            </w:r>
          </w:p>
        </w:tc>
        <w:tc>
          <w:tcPr>
            <w:tcW w:w="1185" w:type="dxa"/>
            <w:tcBorders>
              <w:bottom w:val="single" w:color="auto" w:sz="4" w:space="0"/>
            </w:tcBorders>
            <w:vAlign w:val="center"/>
          </w:tcPr>
          <w:p>
            <w:pPr>
              <w:spacing w:line="300" w:lineRule="exact"/>
              <w:jc w:val="center"/>
              <w:rPr>
                <w:color w:val="000000" w:themeColor="text1"/>
                <w:szCs w:val="21"/>
              </w:rPr>
            </w:pPr>
            <w:r>
              <w:rPr>
                <w:rFonts w:hint="eastAsia" w:ascii="宋体" w:hAnsi="宋体"/>
                <w:color w:val="000000" w:themeColor="text1"/>
                <w:szCs w:val="21"/>
              </w:rPr>
              <w:t>药剂</w:t>
            </w:r>
            <w:r>
              <w:rPr>
                <w:rFonts w:ascii="宋体" w:hAnsi="宋体"/>
                <w:color w:val="000000" w:themeColor="text1"/>
                <w:szCs w:val="21"/>
              </w:rPr>
              <w:t>消耗量</w:t>
            </w:r>
          </w:p>
        </w:tc>
        <w:tc>
          <w:tcPr>
            <w:tcW w:w="765" w:type="dxa"/>
            <w:tcBorders>
              <w:bottom w:val="single" w:color="auto" w:sz="4" w:space="0"/>
            </w:tcBorders>
            <w:vAlign w:val="center"/>
          </w:tcPr>
          <w:p>
            <w:pPr>
              <w:spacing w:line="300" w:lineRule="exact"/>
              <w:jc w:val="center"/>
              <w:rPr>
                <w:color w:val="000000" w:themeColor="text1"/>
                <w:szCs w:val="21"/>
              </w:rPr>
            </w:pPr>
            <w:r>
              <w:rPr>
                <w:rFonts w:hint="eastAsia"/>
                <w:color w:val="000000" w:themeColor="text1"/>
                <w:szCs w:val="21"/>
              </w:rPr>
              <w:t>5</w:t>
            </w:r>
          </w:p>
        </w:tc>
        <w:tc>
          <w:tcPr>
            <w:tcW w:w="10328" w:type="dxa"/>
            <w:gridSpan w:val="6"/>
            <w:tcBorders>
              <w:top w:val="single" w:color="auto" w:sz="4" w:space="0"/>
            </w:tcBorders>
            <w:vAlign w:val="center"/>
          </w:tcPr>
          <w:p>
            <w:pPr>
              <w:spacing w:line="300" w:lineRule="exact"/>
              <w:rPr>
                <w:color w:val="000000" w:themeColor="text1"/>
                <w:szCs w:val="21"/>
              </w:rPr>
            </w:pPr>
            <w:r>
              <w:rPr>
                <w:rFonts w:hint="eastAsia" w:ascii="宋体" w:hAnsi="宋体"/>
                <w:color w:val="000000" w:themeColor="text1"/>
                <w:szCs w:val="21"/>
              </w:rPr>
              <w:t>单过硫酸氢钾复合消毒粉药剂消毒每吨污水消耗的量，满分为5分，以各个投标人</w:t>
            </w:r>
            <w:r>
              <w:rPr>
                <w:rFonts w:ascii="宋体" w:hAnsi="宋体"/>
                <w:color w:val="000000" w:themeColor="text1"/>
                <w:szCs w:val="21"/>
              </w:rPr>
              <w:t>中</w:t>
            </w:r>
            <w:r>
              <w:rPr>
                <w:rFonts w:hint="eastAsia" w:ascii="宋体" w:hAnsi="宋体"/>
                <w:color w:val="000000" w:themeColor="text1"/>
                <w:szCs w:val="21"/>
              </w:rPr>
              <w:t>所</w:t>
            </w:r>
            <w:r>
              <w:rPr>
                <w:rFonts w:ascii="宋体" w:hAnsi="宋体"/>
                <w:color w:val="000000" w:themeColor="text1"/>
                <w:szCs w:val="21"/>
              </w:rPr>
              <w:t>响应能够达到的最低的消耗量为</w:t>
            </w:r>
            <w:r>
              <w:rPr>
                <w:rFonts w:hint="eastAsia" w:ascii="宋体" w:hAnsi="宋体"/>
                <w:color w:val="000000" w:themeColor="text1"/>
                <w:szCs w:val="21"/>
              </w:rPr>
              <w:t>标准值</w:t>
            </w:r>
            <w:r>
              <w:rPr>
                <w:rFonts w:ascii="宋体" w:hAnsi="宋体"/>
                <w:color w:val="000000" w:themeColor="text1"/>
                <w:szCs w:val="21"/>
              </w:rPr>
              <w:t>，</w:t>
            </w:r>
            <w:r>
              <w:rPr>
                <w:rFonts w:hint="eastAsia" w:ascii="宋体" w:hAnsi="宋体"/>
                <w:color w:val="000000" w:themeColor="text1"/>
                <w:szCs w:val="21"/>
              </w:rPr>
              <w:t>投标人</w:t>
            </w:r>
            <w:r>
              <w:rPr>
                <w:rFonts w:ascii="宋体" w:hAnsi="宋体"/>
                <w:color w:val="000000" w:themeColor="text1"/>
                <w:szCs w:val="21"/>
              </w:rPr>
              <w:t>得分=标准值</w:t>
            </w:r>
            <w:r>
              <w:rPr>
                <w:rFonts w:hint="eastAsia" w:ascii="宋体" w:hAnsi="宋体"/>
                <w:color w:val="000000" w:themeColor="text1"/>
                <w:szCs w:val="21"/>
              </w:rPr>
              <w:t>/投标人</w:t>
            </w:r>
            <w:r>
              <w:rPr>
                <w:rFonts w:ascii="宋体" w:hAnsi="宋体"/>
                <w:color w:val="000000" w:themeColor="text1"/>
                <w:szCs w:val="21"/>
              </w:rPr>
              <w:t>响应值</w:t>
            </w:r>
            <w:r>
              <w:rPr>
                <w:rFonts w:hint="eastAsia" w:ascii="宋体" w:hAnsi="宋体"/>
                <w:color w:val="000000" w:themeColor="text1"/>
                <w:szCs w:val="21"/>
              </w:rPr>
              <w:t>×5，</w:t>
            </w:r>
            <w:r>
              <w:rPr>
                <w:rFonts w:ascii="宋体" w:hAnsi="宋体"/>
                <w:color w:val="000000" w:themeColor="text1"/>
                <w:szCs w:val="21"/>
              </w:rPr>
              <w:t>结果保留</w:t>
            </w:r>
            <w:r>
              <w:rPr>
                <w:rFonts w:hint="eastAsia" w:ascii="宋体" w:hAnsi="宋体"/>
                <w:color w:val="000000" w:themeColor="text1"/>
                <w:szCs w:val="21"/>
              </w:rPr>
              <w:t>1位小数。</w:t>
            </w:r>
          </w:p>
        </w:tc>
        <w:tc>
          <w:tcPr>
            <w:tcW w:w="1177" w:type="dxa"/>
            <w:tcBorders>
              <w:top w:val="single" w:color="auto" w:sz="4" w:space="0"/>
            </w:tcBorders>
            <w:vAlign w:val="center"/>
          </w:tcPr>
          <w:p>
            <w:pPr>
              <w:jc w:val="center"/>
              <w:rPr>
                <w:color w:val="000000"/>
                <w:szCs w:val="21"/>
              </w:rPr>
            </w:pPr>
          </w:p>
        </w:tc>
        <w:tc>
          <w:tcPr>
            <w:tcW w:w="1230" w:type="dxa"/>
            <w:tcBorders>
              <w:top w:val="single" w:color="auto" w:sz="4" w:space="0"/>
            </w:tcBorders>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1" w:hRule="atLeast"/>
        </w:trPr>
        <w:tc>
          <w:tcPr>
            <w:tcW w:w="465" w:type="dxa"/>
            <w:vAlign w:val="center"/>
          </w:tcPr>
          <w:p>
            <w:pPr>
              <w:jc w:val="center"/>
              <w:rPr>
                <w:rFonts w:hint="default" w:eastAsia="宋体"/>
                <w:color w:val="000000"/>
                <w:szCs w:val="21"/>
                <w:lang w:val="en-US" w:eastAsia="zh-CN"/>
              </w:rPr>
            </w:pPr>
            <w:r>
              <w:rPr>
                <w:rFonts w:hint="eastAsia"/>
                <w:color w:val="000000"/>
                <w:szCs w:val="21"/>
                <w:lang w:val="en-US" w:eastAsia="zh-CN"/>
              </w:rPr>
              <w:t>10</w:t>
            </w:r>
          </w:p>
        </w:tc>
        <w:tc>
          <w:tcPr>
            <w:tcW w:w="1185" w:type="dxa"/>
            <w:vAlign w:val="center"/>
          </w:tcPr>
          <w:p>
            <w:pPr>
              <w:spacing w:line="300" w:lineRule="exact"/>
              <w:jc w:val="center"/>
              <w:rPr>
                <w:bCs/>
                <w:color w:val="000000" w:themeColor="text1"/>
                <w:szCs w:val="21"/>
              </w:rPr>
            </w:pPr>
            <w:r>
              <w:rPr>
                <w:rFonts w:hint="eastAsia" w:ascii="宋体" w:hAnsi="宋体"/>
                <w:color w:val="000000" w:themeColor="text1"/>
                <w:szCs w:val="21"/>
              </w:rPr>
              <w:t>使用</w:t>
            </w:r>
            <w:r>
              <w:rPr>
                <w:rFonts w:ascii="宋体" w:hAnsi="宋体"/>
                <w:color w:val="000000" w:themeColor="text1"/>
                <w:szCs w:val="21"/>
              </w:rPr>
              <w:t>成本</w:t>
            </w:r>
          </w:p>
        </w:tc>
        <w:tc>
          <w:tcPr>
            <w:tcW w:w="765" w:type="dxa"/>
            <w:vAlign w:val="center"/>
          </w:tcPr>
          <w:p>
            <w:pPr>
              <w:spacing w:line="300" w:lineRule="exact"/>
              <w:jc w:val="center"/>
              <w:rPr>
                <w:color w:val="000000" w:themeColor="text1"/>
                <w:szCs w:val="21"/>
              </w:rPr>
            </w:pPr>
            <w:r>
              <w:rPr>
                <w:rFonts w:hint="eastAsia"/>
                <w:color w:val="000000" w:themeColor="text1"/>
                <w:szCs w:val="21"/>
              </w:rPr>
              <w:t>5</w:t>
            </w:r>
          </w:p>
        </w:tc>
        <w:tc>
          <w:tcPr>
            <w:tcW w:w="10328" w:type="dxa"/>
            <w:gridSpan w:val="6"/>
            <w:vAlign w:val="center"/>
          </w:tcPr>
          <w:p>
            <w:pPr>
              <w:spacing w:line="300" w:lineRule="exact"/>
              <w:rPr>
                <w:color w:val="000000" w:themeColor="text1"/>
                <w:szCs w:val="21"/>
              </w:rPr>
            </w:pPr>
            <w:r>
              <w:rPr>
                <w:rFonts w:hint="eastAsia" w:ascii="宋体" w:hAnsi="宋体"/>
                <w:color w:val="000000" w:themeColor="text1"/>
                <w:szCs w:val="21"/>
              </w:rPr>
              <w:t>单过硫酸氢钾复合消毒粉每吨水消毒的成本，满分为5分，以各个投标人</w:t>
            </w:r>
            <w:r>
              <w:rPr>
                <w:rFonts w:ascii="宋体" w:hAnsi="宋体"/>
                <w:color w:val="000000" w:themeColor="text1"/>
                <w:szCs w:val="21"/>
              </w:rPr>
              <w:t>中</w:t>
            </w:r>
            <w:r>
              <w:rPr>
                <w:rFonts w:hint="eastAsia" w:ascii="宋体" w:hAnsi="宋体"/>
                <w:color w:val="000000" w:themeColor="text1"/>
                <w:szCs w:val="21"/>
              </w:rPr>
              <w:t>所</w:t>
            </w:r>
            <w:r>
              <w:rPr>
                <w:rFonts w:ascii="宋体" w:hAnsi="宋体"/>
                <w:color w:val="000000" w:themeColor="text1"/>
                <w:szCs w:val="21"/>
              </w:rPr>
              <w:t>响应能够达到的最低的</w:t>
            </w:r>
            <w:r>
              <w:rPr>
                <w:rFonts w:hint="eastAsia" w:ascii="宋体" w:hAnsi="宋体"/>
                <w:color w:val="000000" w:themeColor="text1"/>
                <w:szCs w:val="21"/>
              </w:rPr>
              <w:t>使用成本</w:t>
            </w:r>
            <w:r>
              <w:rPr>
                <w:rFonts w:ascii="宋体" w:hAnsi="宋体"/>
                <w:color w:val="000000" w:themeColor="text1"/>
                <w:szCs w:val="21"/>
              </w:rPr>
              <w:t>为</w:t>
            </w:r>
            <w:r>
              <w:rPr>
                <w:rFonts w:hint="eastAsia" w:ascii="宋体" w:hAnsi="宋体"/>
                <w:color w:val="000000" w:themeColor="text1"/>
                <w:szCs w:val="21"/>
              </w:rPr>
              <w:t>标准值</w:t>
            </w:r>
            <w:r>
              <w:rPr>
                <w:rFonts w:ascii="宋体" w:hAnsi="宋体"/>
                <w:color w:val="000000" w:themeColor="text1"/>
                <w:szCs w:val="21"/>
              </w:rPr>
              <w:t>，</w:t>
            </w:r>
            <w:r>
              <w:rPr>
                <w:rFonts w:hint="eastAsia" w:ascii="宋体" w:hAnsi="宋体"/>
                <w:color w:val="000000" w:themeColor="text1"/>
                <w:szCs w:val="21"/>
              </w:rPr>
              <w:t>投标人</w:t>
            </w:r>
            <w:r>
              <w:rPr>
                <w:rFonts w:ascii="宋体" w:hAnsi="宋体"/>
                <w:color w:val="000000" w:themeColor="text1"/>
                <w:szCs w:val="21"/>
              </w:rPr>
              <w:t>得分=标准值</w:t>
            </w:r>
            <w:r>
              <w:rPr>
                <w:rFonts w:hint="eastAsia" w:ascii="宋体" w:hAnsi="宋体"/>
                <w:color w:val="000000" w:themeColor="text1"/>
                <w:szCs w:val="21"/>
              </w:rPr>
              <w:t>/投标人</w:t>
            </w:r>
            <w:r>
              <w:rPr>
                <w:rFonts w:ascii="宋体" w:hAnsi="宋体"/>
                <w:color w:val="000000" w:themeColor="text1"/>
                <w:szCs w:val="21"/>
              </w:rPr>
              <w:t>响应值</w:t>
            </w:r>
            <w:r>
              <w:rPr>
                <w:rFonts w:hint="eastAsia" w:ascii="宋体" w:hAnsi="宋体"/>
                <w:color w:val="000000" w:themeColor="text1"/>
                <w:szCs w:val="21"/>
              </w:rPr>
              <w:t>×5，</w:t>
            </w:r>
            <w:r>
              <w:rPr>
                <w:rFonts w:ascii="宋体" w:hAnsi="宋体"/>
                <w:color w:val="000000" w:themeColor="text1"/>
                <w:szCs w:val="21"/>
              </w:rPr>
              <w:t>结果保留</w:t>
            </w:r>
            <w:r>
              <w:rPr>
                <w:rFonts w:hint="eastAsia" w:ascii="宋体" w:hAnsi="宋体"/>
                <w:color w:val="000000" w:themeColor="text1"/>
                <w:szCs w:val="21"/>
              </w:rPr>
              <w:t>1位小数。</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5" w:hRule="atLeast"/>
        </w:trPr>
        <w:tc>
          <w:tcPr>
            <w:tcW w:w="465" w:type="dxa"/>
            <w:vAlign w:val="center"/>
          </w:tcPr>
          <w:p>
            <w:pPr>
              <w:jc w:val="center"/>
              <w:rPr>
                <w:rFonts w:hint="default" w:eastAsia="宋体"/>
                <w:color w:val="000000" w:themeColor="text1"/>
                <w:szCs w:val="21"/>
                <w:lang w:val="en-US" w:eastAsia="zh-CN"/>
              </w:rPr>
            </w:pPr>
            <w:r>
              <w:rPr>
                <w:rFonts w:hint="eastAsia"/>
                <w:color w:val="000000" w:themeColor="text1"/>
                <w:szCs w:val="21"/>
                <w:lang w:val="en-US" w:eastAsia="zh-CN"/>
              </w:rPr>
              <w:t>11</w:t>
            </w:r>
          </w:p>
        </w:tc>
        <w:tc>
          <w:tcPr>
            <w:tcW w:w="1185" w:type="dxa"/>
            <w:tcBorders>
              <w:bottom w:val="single" w:color="auto" w:sz="4" w:space="0"/>
            </w:tcBorders>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活性氧</w:t>
            </w:r>
          </w:p>
          <w:p>
            <w:pPr>
              <w:spacing w:line="300" w:lineRule="exact"/>
              <w:jc w:val="center"/>
              <w:rPr>
                <w:bCs/>
                <w:color w:val="000000" w:themeColor="text1"/>
                <w:szCs w:val="21"/>
              </w:rPr>
            </w:pPr>
            <w:r>
              <w:rPr>
                <w:rFonts w:hint="eastAsia" w:ascii="宋体" w:hAnsi="宋体"/>
                <w:color w:val="000000" w:themeColor="text1"/>
                <w:szCs w:val="21"/>
              </w:rPr>
              <w:t>含量</w:t>
            </w:r>
          </w:p>
        </w:tc>
        <w:tc>
          <w:tcPr>
            <w:tcW w:w="765" w:type="dxa"/>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5</w:t>
            </w:r>
          </w:p>
        </w:tc>
        <w:tc>
          <w:tcPr>
            <w:tcW w:w="10328" w:type="dxa"/>
            <w:gridSpan w:val="6"/>
            <w:tcBorders>
              <w:bottom w:val="single" w:color="auto" w:sz="4" w:space="0"/>
            </w:tcBorders>
            <w:vAlign w:val="center"/>
          </w:tcPr>
          <w:p>
            <w:pPr>
              <w:spacing w:line="300" w:lineRule="exact"/>
              <w:rPr>
                <w:color w:val="000000" w:themeColor="text1"/>
                <w:szCs w:val="21"/>
              </w:rPr>
            </w:pPr>
            <w:r>
              <w:rPr>
                <w:rFonts w:hint="eastAsia" w:ascii="宋体" w:hAnsi="宋体"/>
                <w:color w:val="000000" w:themeColor="text1"/>
                <w:szCs w:val="21"/>
              </w:rPr>
              <w:t>单过硫酸氢钾复合消毒粉活性氧含量</w:t>
            </w:r>
            <w:r>
              <w:rPr>
                <w:rFonts w:hint="eastAsia" w:ascii="宋体" w:hAnsi="宋体"/>
                <w:color w:val="000000" w:themeColor="text1"/>
                <w:szCs w:val="21"/>
                <w:lang w:eastAsia="zh-CN"/>
              </w:rPr>
              <w:t>（投标人需提供近一年内的有关活性氧含量指标的产品检测报告，</w:t>
            </w:r>
            <w:r>
              <w:rPr>
                <w:rFonts w:hint="eastAsia"/>
                <w:color w:val="000000" w:themeColor="text1"/>
                <w:szCs w:val="21"/>
              </w:rPr>
              <w:t>开标时须提供</w:t>
            </w:r>
            <w:r>
              <w:rPr>
                <w:rFonts w:hint="eastAsia"/>
                <w:color w:val="000000" w:themeColor="text1"/>
                <w:szCs w:val="21"/>
                <w:lang w:eastAsia="zh-CN"/>
              </w:rPr>
              <w:t>检验</w:t>
            </w:r>
            <w:r>
              <w:rPr>
                <w:rFonts w:hint="eastAsia"/>
                <w:color w:val="000000" w:themeColor="text1"/>
                <w:szCs w:val="21"/>
              </w:rPr>
              <w:t>报告原件查验，复印件加盖投标人公章附在投标文件中，不提供原件查验不得分</w:t>
            </w:r>
            <w:r>
              <w:rPr>
                <w:rFonts w:hint="eastAsia"/>
                <w:color w:val="000000" w:themeColor="text1"/>
                <w:szCs w:val="21"/>
                <w:lang w:eastAsia="zh-CN"/>
              </w:rPr>
              <w:t>或视活性氧含量为</w:t>
            </w:r>
            <w:r>
              <w:rPr>
                <w:rFonts w:hint="eastAsia" w:ascii="宋体" w:hAnsi="宋体"/>
                <w:color w:val="000000" w:themeColor="text1"/>
                <w:szCs w:val="21"/>
                <w:lang w:eastAsia="zh-CN"/>
              </w:rPr>
              <w:t>）</w:t>
            </w:r>
            <w:r>
              <w:rPr>
                <w:rFonts w:hint="eastAsia" w:ascii="宋体" w:hAnsi="宋体"/>
                <w:color w:val="000000" w:themeColor="text1"/>
                <w:szCs w:val="21"/>
              </w:rPr>
              <w:t>，满分为</w:t>
            </w:r>
            <w:r>
              <w:rPr>
                <w:rFonts w:hint="eastAsia" w:ascii="宋体" w:hAnsi="宋体"/>
                <w:color w:val="000000" w:themeColor="text1"/>
                <w:szCs w:val="21"/>
                <w:lang w:val="en-US" w:eastAsia="zh-CN"/>
              </w:rPr>
              <w:t>5</w:t>
            </w:r>
            <w:r>
              <w:rPr>
                <w:rFonts w:hint="eastAsia" w:ascii="宋体" w:hAnsi="宋体"/>
                <w:color w:val="000000" w:themeColor="text1"/>
                <w:szCs w:val="21"/>
              </w:rPr>
              <w:t>分，以各个投标人</w:t>
            </w:r>
            <w:r>
              <w:rPr>
                <w:rFonts w:ascii="宋体" w:hAnsi="宋体"/>
                <w:color w:val="000000" w:themeColor="text1"/>
                <w:szCs w:val="21"/>
              </w:rPr>
              <w:t>响应</w:t>
            </w:r>
            <w:r>
              <w:rPr>
                <w:rFonts w:hint="eastAsia" w:ascii="宋体" w:hAnsi="宋体"/>
                <w:color w:val="000000" w:themeColor="text1"/>
                <w:szCs w:val="21"/>
                <w:lang w:eastAsia="zh-CN"/>
              </w:rPr>
              <w:t>值</w:t>
            </w:r>
            <w:r>
              <w:rPr>
                <w:rFonts w:ascii="宋体" w:hAnsi="宋体"/>
                <w:color w:val="000000" w:themeColor="text1"/>
                <w:szCs w:val="21"/>
              </w:rPr>
              <w:t>的最</w:t>
            </w:r>
            <w:r>
              <w:rPr>
                <w:rFonts w:hint="eastAsia" w:ascii="宋体" w:hAnsi="宋体"/>
                <w:color w:val="000000" w:themeColor="text1"/>
                <w:szCs w:val="21"/>
              </w:rPr>
              <w:t>高活性氧含量为标准值</w:t>
            </w:r>
            <w:r>
              <w:rPr>
                <w:rFonts w:ascii="宋体" w:hAnsi="宋体"/>
                <w:color w:val="000000" w:themeColor="text1"/>
                <w:szCs w:val="21"/>
              </w:rPr>
              <w:t>，</w:t>
            </w:r>
            <w:r>
              <w:rPr>
                <w:rFonts w:hint="eastAsia" w:ascii="宋体" w:hAnsi="宋体"/>
                <w:color w:val="000000" w:themeColor="text1"/>
                <w:szCs w:val="21"/>
              </w:rPr>
              <w:t>投标人</w:t>
            </w:r>
            <w:r>
              <w:rPr>
                <w:rFonts w:ascii="宋体" w:hAnsi="宋体"/>
                <w:color w:val="000000" w:themeColor="text1"/>
                <w:szCs w:val="21"/>
              </w:rPr>
              <w:t>得分=</w:t>
            </w:r>
            <w:r>
              <w:rPr>
                <w:rFonts w:hint="eastAsia" w:ascii="宋体" w:hAnsi="宋体"/>
                <w:color w:val="000000" w:themeColor="text1"/>
                <w:szCs w:val="21"/>
              </w:rPr>
              <w:t>投标人</w:t>
            </w:r>
            <w:r>
              <w:rPr>
                <w:rFonts w:ascii="宋体" w:hAnsi="宋体"/>
                <w:color w:val="000000" w:themeColor="text1"/>
                <w:szCs w:val="21"/>
              </w:rPr>
              <w:t>响应值</w:t>
            </w:r>
            <w:r>
              <w:rPr>
                <w:rFonts w:hint="eastAsia" w:ascii="宋体" w:hAnsi="宋体"/>
                <w:color w:val="000000" w:themeColor="text1"/>
                <w:szCs w:val="21"/>
              </w:rPr>
              <w:t>/</w:t>
            </w:r>
            <w:r>
              <w:rPr>
                <w:rFonts w:ascii="宋体" w:hAnsi="宋体"/>
                <w:color w:val="000000" w:themeColor="text1"/>
                <w:szCs w:val="21"/>
              </w:rPr>
              <w:t>标准值</w:t>
            </w:r>
            <w:r>
              <w:rPr>
                <w:rFonts w:hint="eastAsia" w:ascii="宋体" w:hAnsi="宋体"/>
                <w:color w:val="000000" w:themeColor="text1"/>
                <w:szCs w:val="21"/>
              </w:rPr>
              <w:t>×1</w:t>
            </w:r>
            <w:r>
              <w:rPr>
                <w:rFonts w:hint="eastAsia" w:ascii="宋体" w:hAnsi="宋体"/>
                <w:color w:val="000000" w:themeColor="text1"/>
                <w:szCs w:val="21"/>
                <w:lang w:val="en-US" w:eastAsia="zh-CN"/>
              </w:rPr>
              <w:t>0</w:t>
            </w:r>
            <w:r>
              <w:rPr>
                <w:rFonts w:hint="eastAsia" w:ascii="宋体" w:hAnsi="宋体"/>
                <w:color w:val="000000" w:themeColor="text1"/>
                <w:szCs w:val="21"/>
              </w:rPr>
              <w:t>，</w:t>
            </w:r>
            <w:r>
              <w:rPr>
                <w:rFonts w:ascii="宋体" w:hAnsi="宋体"/>
                <w:color w:val="000000" w:themeColor="text1"/>
                <w:szCs w:val="21"/>
              </w:rPr>
              <w:t>结果保留</w:t>
            </w:r>
            <w:r>
              <w:rPr>
                <w:rFonts w:hint="eastAsia" w:ascii="宋体" w:hAnsi="宋体"/>
                <w:color w:val="000000" w:themeColor="text1"/>
                <w:szCs w:val="21"/>
              </w:rPr>
              <w:t>1位小数。</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5" w:hRule="atLeast"/>
        </w:trPr>
        <w:tc>
          <w:tcPr>
            <w:tcW w:w="465" w:type="dxa"/>
            <w:vAlign w:val="center"/>
          </w:tcPr>
          <w:p>
            <w:pPr>
              <w:jc w:val="center"/>
              <w:rPr>
                <w:rFonts w:hint="default"/>
                <w:color w:val="000000" w:themeColor="text1"/>
                <w:szCs w:val="21"/>
                <w:lang w:val="en-US" w:eastAsia="zh-CN"/>
              </w:rPr>
            </w:pPr>
            <w:r>
              <w:rPr>
                <w:rFonts w:hint="eastAsia"/>
                <w:color w:val="000000" w:themeColor="text1"/>
                <w:szCs w:val="21"/>
                <w:lang w:val="en-US" w:eastAsia="zh-CN"/>
              </w:rPr>
              <w:t>12</w:t>
            </w:r>
          </w:p>
        </w:tc>
        <w:tc>
          <w:tcPr>
            <w:tcW w:w="1185" w:type="dxa"/>
            <w:tcBorders>
              <w:bottom w:val="single" w:color="auto" w:sz="4" w:space="0"/>
            </w:tcBorders>
            <w:vAlign w:val="center"/>
          </w:tcPr>
          <w:p>
            <w:pPr>
              <w:spacing w:line="30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eastAsia="zh-CN"/>
              </w:rPr>
              <w:t>售后</w:t>
            </w:r>
            <w:r>
              <w:rPr>
                <w:rFonts w:hint="eastAsia" w:ascii="宋体" w:hAnsi="宋体"/>
                <w:b w:val="0"/>
                <w:bCs w:val="0"/>
                <w:color w:val="000000" w:themeColor="text1"/>
                <w:szCs w:val="21"/>
                <w:highlight w:val="none"/>
                <w:lang w:eastAsia="zh-CN"/>
              </w:rPr>
              <w:t>服务便利性及响应及时</w:t>
            </w:r>
          </w:p>
        </w:tc>
        <w:tc>
          <w:tcPr>
            <w:tcW w:w="765" w:type="dxa"/>
            <w:tcBorders>
              <w:right w:val="single" w:color="auto" w:sz="4" w:space="0"/>
            </w:tcBorders>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10</w:t>
            </w:r>
          </w:p>
        </w:tc>
        <w:tc>
          <w:tcPr>
            <w:tcW w:w="1032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宋体" w:hAnsi="宋体" w:eastAsia="宋体"/>
                <w:color w:val="000000" w:themeColor="text1"/>
                <w:szCs w:val="21"/>
                <w:lang w:val="en-US" w:eastAsia="zh-CN"/>
              </w:rPr>
            </w:pPr>
            <w:r>
              <w:rPr>
                <w:rFonts w:hint="default" w:ascii="宋体" w:hAnsi="宋体"/>
                <w:color w:val="000000" w:themeColor="text1"/>
                <w:szCs w:val="21"/>
                <w:lang w:val="en-US" w:eastAsia="zh-CN"/>
              </w:rPr>
              <w:t>服务综合评分：</w:t>
            </w:r>
            <w:r>
              <w:rPr>
                <w:rFonts w:hint="eastAsia" w:ascii="宋体" w:hAnsi="宋体"/>
                <w:color w:val="000000" w:themeColor="text1"/>
                <w:szCs w:val="21"/>
                <w:lang w:val="en-US" w:eastAsia="zh-CN"/>
              </w:rPr>
              <w:t>优，良，中，差。</w:t>
            </w:r>
          </w:p>
          <w:p>
            <w:pPr>
              <w:spacing w:line="300" w:lineRule="exact"/>
              <w:rPr>
                <w:rFonts w:hint="default" w:ascii="宋体" w:hAnsi="宋体"/>
                <w:color w:val="000000" w:themeColor="text1"/>
                <w:szCs w:val="21"/>
                <w:lang w:val="en-US" w:eastAsia="zh-CN"/>
              </w:rPr>
            </w:pPr>
            <w:r>
              <w:rPr>
                <w:rFonts w:hint="default" w:ascii="宋体" w:hAnsi="宋体"/>
                <w:color w:val="000000" w:themeColor="text1"/>
                <w:szCs w:val="21"/>
                <w:lang w:val="en-US" w:eastAsia="zh-CN"/>
              </w:rPr>
              <w:t>优：服务承诺优于招标文件要求、响应及时、本地化服务优势明显，有本地直属服务点、运输能力完善，应急时效及时、客服跟踪服务完善</w:t>
            </w:r>
            <w:r>
              <w:rPr>
                <w:rFonts w:hint="eastAsia" w:ascii="宋体" w:hAnsi="宋体"/>
                <w:color w:val="000000" w:themeColor="text1"/>
                <w:szCs w:val="21"/>
                <w:lang w:val="en-US" w:eastAsia="zh-CN"/>
              </w:rPr>
              <w:t>，得10分；</w:t>
            </w:r>
          </w:p>
          <w:p>
            <w:pPr>
              <w:spacing w:line="300" w:lineRule="exact"/>
              <w:rPr>
                <w:rFonts w:hint="default" w:ascii="宋体" w:hAnsi="宋体"/>
                <w:color w:val="000000" w:themeColor="text1"/>
                <w:szCs w:val="21"/>
                <w:lang w:val="en-US" w:eastAsia="zh-CN"/>
              </w:rPr>
            </w:pPr>
            <w:r>
              <w:rPr>
                <w:rFonts w:hint="default" w:ascii="宋体" w:hAnsi="宋体"/>
                <w:color w:val="000000" w:themeColor="text1"/>
                <w:szCs w:val="21"/>
                <w:lang w:val="en-US" w:eastAsia="zh-CN"/>
              </w:rPr>
              <w:t>良：服务承诺满足招标文件要求响应及时、</w:t>
            </w:r>
            <w:r>
              <w:rPr>
                <w:rFonts w:hint="eastAsia" w:ascii="宋体" w:hAnsi="宋体"/>
                <w:color w:val="000000" w:themeColor="text1"/>
                <w:szCs w:val="21"/>
                <w:lang w:val="en-US" w:eastAsia="zh-CN"/>
              </w:rPr>
              <w:t>有基本的</w:t>
            </w:r>
            <w:r>
              <w:rPr>
                <w:rFonts w:hint="default" w:ascii="宋体" w:hAnsi="宋体"/>
                <w:color w:val="000000" w:themeColor="text1"/>
                <w:szCs w:val="21"/>
                <w:lang w:val="en-US" w:eastAsia="zh-CN"/>
              </w:rPr>
              <w:t>本地化</w:t>
            </w:r>
            <w:r>
              <w:rPr>
                <w:rFonts w:hint="eastAsia" w:ascii="宋体" w:hAnsi="宋体"/>
                <w:color w:val="000000" w:themeColor="text1"/>
                <w:szCs w:val="21"/>
                <w:lang w:val="en-US" w:eastAsia="zh-CN"/>
              </w:rPr>
              <w:t>服务、</w:t>
            </w:r>
            <w:r>
              <w:rPr>
                <w:rFonts w:hint="default" w:ascii="宋体" w:hAnsi="宋体"/>
                <w:color w:val="000000" w:themeColor="text1"/>
                <w:szCs w:val="21"/>
                <w:lang w:val="en-US" w:eastAsia="zh-CN"/>
              </w:rPr>
              <w:t>运输能力满足要求，应急时效较及时、客服跟踪服务较完善</w:t>
            </w:r>
            <w:r>
              <w:rPr>
                <w:rFonts w:hint="eastAsia" w:ascii="宋体" w:hAnsi="宋体"/>
                <w:color w:val="000000" w:themeColor="text1"/>
                <w:szCs w:val="21"/>
                <w:lang w:val="en-US" w:eastAsia="zh-CN"/>
              </w:rPr>
              <w:t>，得8分；</w:t>
            </w:r>
          </w:p>
          <w:p>
            <w:pPr>
              <w:spacing w:line="300" w:lineRule="exact"/>
              <w:rPr>
                <w:rFonts w:hint="default" w:ascii="宋体" w:hAnsi="宋体"/>
                <w:color w:val="000000" w:themeColor="text1"/>
                <w:szCs w:val="21"/>
                <w:lang w:val="en-US" w:eastAsia="zh-CN"/>
              </w:rPr>
            </w:pPr>
            <w:r>
              <w:rPr>
                <w:rFonts w:hint="default" w:ascii="宋体" w:hAnsi="宋体"/>
                <w:color w:val="000000" w:themeColor="text1"/>
                <w:szCs w:val="21"/>
                <w:lang w:val="en-US" w:eastAsia="zh-CN"/>
              </w:rPr>
              <w:t>中：服务承诺基本满足招标文件要求、服务</w:t>
            </w:r>
            <w:r>
              <w:rPr>
                <w:rFonts w:hint="eastAsia" w:ascii="宋体" w:hAnsi="宋体"/>
                <w:color w:val="000000" w:themeColor="text1"/>
                <w:szCs w:val="21"/>
                <w:lang w:val="en-US" w:eastAsia="zh-CN"/>
              </w:rPr>
              <w:t>便利性</w:t>
            </w:r>
            <w:r>
              <w:rPr>
                <w:rFonts w:hint="default" w:ascii="宋体" w:hAnsi="宋体"/>
                <w:color w:val="000000" w:themeColor="text1"/>
                <w:szCs w:val="21"/>
                <w:lang w:val="en-US" w:eastAsia="zh-CN"/>
              </w:rPr>
              <w:t>一般、响应有延迟、</w:t>
            </w:r>
            <w:r>
              <w:rPr>
                <w:rFonts w:hint="eastAsia" w:ascii="宋体" w:hAnsi="宋体"/>
                <w:color w:val="000000" w:themeColor="text1"/>
                <w:szCs w:val="21"/>
                <w:lang w:val="en-US" w:eastAsia="zh-CN"/>
              </w:rPr>
              <w:t>无本地化服务、</w:t>
            </w:r>
            <w:r>
              <w:rPr>
                <w:rFonts w:hint="default" w:ascii="宋体" w:hAnsi="宋体"/>
                <w:color w:val="000000" w:themeColor="text1"/>
                <w:szCs w:val="21"/>
                <w:lang w:val="en-US" w:eastAsia="zh-CN"/>
              </w:rPr>
              <w:t>运输能力一般</w:t>
            </w:r>
            <w:r>
              <w:rPr>
                <w:rFonts w:hint="eastAsia" w:ascii="宋体" w:hAnsi="宋体"/>
                <w:color w:val="000000" w:themeColor="text1"/>
                <w:szCs w:val="21"/>
                <w:lang w:val="en-US" w:eastAsia="zh-CN"/>
              </w:rPr>
              <w:t>，得6分</w:t>
            </w:r>
            <w:r>
              <w:rPr>
                <w:rFonts w:hint="default" w:ascii="宋体" w:hAnsi="宋体"/>
                <w:color w:val="000000" w:themeColor="text1"/>
                <w:szCs w:val="21"/>
                <w:lang w:val="en-US" w:eastAsia="zh-CN"/>
              </w:rPr>
              <w:t>；</w:t>
            </w:r>
          </w:p>
          <w:p>
            <w:pPr>
              <w:spacing w:line="300" w:lineRule="exact"/>
              <w:rPr>
                <w:rFonts w:hint="default" w:ascii="宋体" w:hAnsi="宋体" w:cs="宋体"/>
                <w:color w:val="000000" w:themeColor="text1"/>
                <w:sz w:val="20"/>
                <w:szCs w:val="20"/>
                <w:highlight w:val="none"/>
                <w:lang w:val="en-US" w:eastAsia="zh-CN"/>
              </w:rPr>
            </w:pPr>
            <w:r>
              <w:rPr>
                <w:rFonts w:hint="default" w:ascii="宋体" w:hAnsi="宋体"/>
                <w:color w:val="000000" w:themeColor="text1"/>
                <w:szCs w:val="21"/>
                <w:lang w:val="en-US" w:eastAsia="zh-CN"/>
              </w:rPr>
              <w:t>差：服务承诺基本满足招标文件要求、服务计划差、响应不及时、运输能力</w:t>
            </w:r>
            <w:r>
              <w:rPr>
                <w:rFonts w:hint="eastAsia" w:ascii="宋体" w:hAnsi="宋体"/>
                <w:color w:val="000000" w:themeColor="text1"/>
                <w:szCs w:val="21"/>
                <w:lang w:val="en-US" w:eastAsia="zh-CN"/>
              </w:rPr>
              <w:t>较差，得4分。</w:t>
            </w:r>
          </w:p>
        </w:tc>
        <w:tc>
          <w:tcPr>
            <w:tcW w:w="1177" w:type="dxa"/>
            <w:tcBorders>
              <w:left w:val="single" w:color="auto" w:sz="4" w:space="0"/>
            </w:tcBorders>
            <w:vAlign w:val="center"/>
          </w:tcPr>
          <w:p>
            <w:pPr>
              <w:jc w:val="center"/>
              <w:rPr>
                <w:color w:val="000000"/>
                <w:szCs w:val="21"/>
              </w:rPr>
            </w:pPr>
          </w:p>
        </w:tc>
        <w:tc>
          <w:tcPr>
            <w:tcW w:w="1230" w:type="dxa"/>
            <w:vAlign w:val="top"/>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650" w:type="dxa"/>
            <w:gridSpan w:val="2"/>
            <w:vAlign w:val="center"/>
          </w:tcPr>
          <w:p>
            <w:pPr>
              <w:jc w:val="center"/>
              <w:rPr>
                <w:color w:val="000000"/>
                <w:szCs w:val="21"/>
              </w:rPr>
            </w:pPr>
            <w:r>
              <w:rPr>
                <w:rFonts w:hint="eastAsia"/>
                <w:color w:val="000000"/>
                <w:szCs w:val="21"/>
              </w:rPr>
              <w:t>合计</w:t>
            </w:r>
          </w:p>
        </w:tc>
        <w:tc>
          <w:tcPr>
            <w:tcW w:w="765" w:type="dxa"/>
            <w:vAlign w:val="center"/>
          </w:tcPr>
          <w:p>
            <w:pPr>
              <w:jc w:val="center"/>
              <w:rPr>
                <w:color w:val="000000"/>
                <w:szCs w:val="21"/>
              </w:rPr>
            </w:pPr>
            <w:r>
              <w:rPr>
                <w:rFonts w:hint="eastAsia"/>
                <w:color w:val="000000"/>
                <w:szCs w:val="21"/>
              </w:rPr>
              <w:t>100</w:t>
            </w:r>
          </w:p>
        </w:tc>
        <w:tc>
          <w:tcPr>
            <w:tcW w:w="10328" w:type="dxa"/>
            <w:gridSpan w:val="6"/>
            <w:tcBorders>
              <w:top w:val="single" w:color="auto" w:sz="4" w:space="0"/>
            </w:tcBorders>
            <w:vAlign w:val="center"/>
          </w:tcPr>
          <w:p>
            <w:pPr>
              <w:spacing w:line="360" w:lineRule="exact"/>
              <w:jc w:val="center"/>
              <w:rPr>
                <w:color w:val="000000"/>
                <w:szCs w:val="21"/>
              </w:rPr>
            </w:pPr>
            <w:r>
              <w:rPr>
                <w:rFonts w:hint="eastAsia"/>
                <w:color w:val="000000"/>
                <w:szCs w:val="21"/>
              </w:rPr>
              <w:t>得分总计</w:t>
            </w:r>
          </w:p>
        </w:tc>
        <w:tc>
          <w:tcPr>
            <w:tcW w:w="1177" w:type="dxa"/>
            <w:vAlign w:val="center"/>
          </w:tcPr>
          <w:p>
            <w:pPr>
              <w:jc w:val="center"/>
              <w:rPr>
                <w:color w:val="000000"/>
                <w:szCs w:val="21"/>
              </w:rPr>
            </w:pPr>
          </w:p>
        </w:tc>
        <w:tc>
          <w:tcPr>
            <w:tcW w:w="1230" w:type="dxa"/>
            <w:vAlign w:val="top"/>
          </w:tcPr>
          <w:p>
            <w:pPr>
              <w:jc w:val="center"/>
              <w:rPr>
                <w:color w:val="000000"/>
                <w:szCs w:val="21"/>
              </w:rPr>
            </w:pPr>
          </w:p>
        </w:tc>
      </w:tr>
    </w:tbl>
    <w:p>
      <w:pPr>
        <w:tabs>
          <w:tab w:val="left" w:pos="7725"/>
        </w:tabs>
        <w:snapToGrid w:val="0"/>
        <w:spacing w:line="400" w:lineRule="exact"/>
        <w:jc w:val="center"/>
        <w:rPr>
          <w:b/>
          <w:sz w:val="28"/>
          <w:szCs w:val="28"/>
        </w:rPr>
      </w:pPr>
    </w:p>
    <w:p>
      <w:pPr>
        <w:tabs>
          <w:tab w:val="left" w:pos="7725"/>
        </w:tabs>
        <w:snapToGrid w:val="0"/>
        <w:spacing w:line="360" w:lineRule="auto"/>
        <w:jc w:val="both"/>
        <w:rPr>
          <w:szCs w:val="21"/>
        </w:rPr>
      </w:pPr>
      <w:r>
        <w:rPr>
          <w:szCs w:val="21"/>
        </w:rPr>
        <w:t>注：评委对各投标文件进行比较后打分，最好的为优，其余的根据优劣相应的打分。</w:t>
      </w:r>
      <w:r>
        <w:t>评分分数低于60分的需文字说明。</w:t>
      </w:r>
    </w:p>
    <w:p>
      <w:pPr>
        <w:rPr>
          <w:szCs w:val="21"/>
        </w:rPr>
      </w:pPr>
    </w:p>
    <w:p>
      <w:pPr>
        <w:ind w:right="420"/>
        <w:rPr>
          <w:szCs w:val="21"/>
        </w:rPr>
      </w:pPr>
      <w:r>
        <w:rPr>
          <w:rFonts w:hint="eastAsia"/>
          <w:szCs w:val="21"/>
        </w:rPr>
        <w:t>评委签名：                                                                                                                                                                                   日期：</w:t>
      </w:r>
    </w:p>
    <w:p>
      <w:pPr>
        <w:sectPr>
          <w:pgSz w:w="16840" w:h="11907" w:orient="landscape"/>
          <w:pgMar w:top="1310" w:right="1418" w:bottom="1060" w:left="1418" w:header="794" w:footer="794" w:gutter="0"/>
          <w:cols w:space="720" w:num="1"/>
          <w:docGrid w:linePitch="286" w:charSpace="274"/>
        </w:sect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p>
    <w:p>
      <w:pPr>
        <w:pStyle w:val="99"/>
        <w:rPr>
          <w:rFonts w:ascii="Times New Roman"/>
        </w:rPr>
      </w:pPr>
      <w:bookmarkStart w:id="31" w:name="_Toc7485"/>
      <w:r>
        <w:rPr>
          <w:rFonts w:ascii="Times New Roman"/>
        </w:rPr>
        <w:t>第</w:t>
      </w:r>
      <w:r>
        <w:rPr>
          <w:rFonts w:hint="eastAsia" w:ascii="Times New Roman"/>
          <w:lang w:eastAsia="zh-CN"/>
        </w:rPr>
        <w:t>四</w:t>
      </w:r>
      <w:r>
        <w:rPr>
          <w:rFonts w:ascii="Times New Roman"/>
        </w:rPr>
        <w:t>部分   合 同 书 格 式</w:t>
      </w:r>
      <w:bookmarkEnd w:id="31"/>
    </w:p>
    <w:p>
      <w:pPr>
        <w:pStyle w:val="99"/>
        <w:rPr>
          <w:rFonts w:ascii="Times New Roman"/>
          <w:b w:val="0"/>
        </w:rPr>
      </w:pPr>
      <w:bookmarkStart w:id="32" w:name="_Toc5314"/>
      <w:bookmarkStart w:id="33" w:name="_Toc424119360"/>
      <w:bookmarkStart w:id="34" w:name="_Toc429576532"/>
      <w:bookmarkStart w:id="35" w:name="_Toc420935461"/>
      <w:bookmarkStart w:id="36" w:name="_Toc302994231"/>
      <w:bookmarkStart w:id="37" w:name="_Toc376767542"/>
      <w:bookmarkStart w:id="38" w:name="_Toc448224219"/>
      <w:bookmarkStart w:id="39" w:name="_Toc308185492"/>
      <w:bookmarkStart w:id="40" w:name="_Toc461007322"/>
      <w:bookmarkStart w:id="41" w:name="_Toc351110353"/>
      <w:bookmarkStart w:id="42" w:name="_Toc436134935"/>
      <w:bookmarkStart w:id="43" w:name="_Toc302994267"/>
      <w:r>
        <w:rPr>
          <w:rFonts w:ascii="Times New Roman" w:eastAsia="宋体"/>
          <w:b w:val="0"/>
          <w:sz w:val="30"/>
          <w:szCs w:val="30"/>
        </w:rPr>
        <w:t>（以下合同范本供参考）</w:t>
      </w:r>
      <w:bookmarkEnd w:id="32"/>
      <w:bookmarkEnd w:id="33"/>
      <w:bookmarkEnd w:id="34"/>
      <w:bookmarkEnd w:id="35"/>
      <w:bookmarkEnd w:id="36"/>
      <w:bookmarkEnd w:id="37"/>
      <w:bookmarkEnd w:id="38"/>
      <w:bookmarkEnd w:id="39"/>
      <w:bookmarkEnd w:id="40"/>
      <w:bookmarkEnd w:id="41"/>
      <w:bookmarkEnd w:id="42"/>
      <w:bookmarkEnd w:id="43"/>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both"/>
        <w:rPr>
          <w:b/>
          <w:sz w:val="52"/>
        </w:rPr>
      </w:pPr>
    </w:p>
    <w:p>
      <w:pPr>
        <w:jc w:val="center"/>
        <w:rPr>
          <w:b/>
          <w:sz w:val="52"/>
        </w:rPr>
      </w:pPr>
    </w:p>
    <w:p>
      <w:pPr>
        <w:jc w:val="center"/>
        <w:rPr>
          <w:rFonts w:eastAsia="楷体_GB2312"/>
          <w:b/>
          <w:sz w:val="48"/>
          <w:szCs w:val="48"/>
        </w:rPr>
      </w:pPr>
      <w:r>
        <w:rPr>
          <w:rFonts w:eastAsia="楷体_GB2312"/>
          <w:b/>
          <w:sz w:val="48"/>
          <w:szCs w:val="48"/>
        </w:rPr>
        <w:br w:type="page"/>
      </w:r>
    </w:p>
    <w:p>
      <w:pPr>
        <w:spacing w:line="700" w:lineRule="exact"/>
        <w:jc w:val="center"/>
        <w:rPr>
          <w:rFonts w:hint="eastAsia" w:eastAsia="楷体_GB2312"/>
          <w:b/>
          <w:sz w:val="52"/>
          <w:szCs w:val="52"/>
        </w:rPr>
      </w:pPr>
    </w:p>
    <w:p>
      <w:pPr>
        <w:spacing w:line="700" w:lineRule="exact"/>
        <w:jc w:val="center"/>
        <w:rPr>
          <w:rFonts w:hint="eastAsia" w:eastAsia="楷体_GB2312"/>
          <w:b/>
          <w:sz w:val="52"/>
          <w:szCs w:val="52"/>
          <w:lang w:eastAsia="zh-CN"/>
        </w:rPr>
      </w:pPr>
      <w:r>
        <w:rPr>
          <w:rFonts w:hint="eastAsia" w:eastAsia="楷体_GB2312"/>
          <w:b/>
          <w:sz w:val="52"/>
          <w:szCs w:val="52"/>
          <w:lang w:eastAsia="zh-CN"/>
        </w:rPr>
        <w:t>中山市坦洲镇污水处理有限公司</w:t>
      </w:r>
    </w:p>
    <w:p>
      <w:pPr>
        <w:spacing w:line="700" w:lineRule="exact"/>
        <w:jc w:val="center"/>
        <w:rPr>
          <w:rFonts w:hint="eastAsia" w:eastAsia="楷体_GB2312"/>
          <w:b/>
          <w:sz w:val="52"/>
          <w:szCs w:val="52"/>
          <w:lang w:eastAsia="zh-CN"/>
        </w:rPr>
      </w:pPr>
      <w:r>
        <w:rPr>
          <w:rFonts w:hint="eastAsia" w:eastAsia="楷体_GB2312"/>
          <w:b/>
          <w:sz w:val="52"/>
          <w:szCs w:val="52"/>
          <w:lang w:eastAsia="zh-CN"/>
        </w:rPr>
        <w:t>消毒剂采购项目</w:t>
      </w:r>
    </w:p>
    <w:p>
      <w:pPr>
        <w:jc w:val="center"/>
        <w:rPr>
          <w:b/>
          <w:sz w:val="52"/>
        </w:rPr>
      </w:pPr>
    </w:p>
    <w:p>
      <w:pPr>
        <w:pStyle w:val="2"/>
        <w:rPr>
          <w:b/>
          <w:sz w:val="52"/>
        </w:rPr>
      </w:pPr>
    </w:p>
    <w:p>
      <w:pPr>
        <w:pStyle w:val="2"/>
        <w:rPr>
          <w:b/>
          <w:sz w:val="52"/>
        </w:rPr>
      </w:pPr>
    </w:p>
    <w:p>
      <w:pPr>
        <w:jc w:val="center"/>
        <w:rPr>
          <w:b/>
          <w:sz w:val="52"/>
        </w:rPr>
      </w:pPr>
    </w:p>
    <w:p>
      <w:pPr>
        <w:jc w:val="center"/>
        <w:rPr>
          <w:rFonts w:eastAsia="楷体_GB2312"/>
          <w:b/>
          <w:sz w:val="84"/>
          <w:szCs w:val="84"/>
        </w:rPr>
      </w:pPr>
      <w:r>
        <w:rPr>
          <w:rFonts w:eastAsia="楷体_GB2312"/>
          <w:b/>
          <w:sz w:val="84"/>
          <w:szCs w:val="84"/>
        </w:rPr>
        <w:t>合同书</w:t>
      </w:r>
    </w:p>
    <w:p>
      <w:pPr>
        <w:jc w:val="center"/>
        <w:rPr>
          <w:sz w:val="24"/>
          <w:szCs w:val="24"/>
        </w:rPr>
      </w:pPr>
    </w:p>
    <w:p>
      <w:pPr>
        <w:jc w:val="center"/>
        <w:rPr>
          <w:sz w:val="52"/>
        </w:rPr>
      </w:pPr>
    </w:p>
    <w:p>
      <w:pPr>
        <w:jc w:val="center"/>
        <w:rPr>
          <w:sz w:val="52"/>
        </w:rPr>
      </w:pPr>
    </w:p>
    <w:p>
      <w:pPr>
        <w:spacing w:line="360" w:lineRule="auto"/>
        <w:jc w:val="center"/>
        <w:rPr>
          <w:b/>
          <w:sz w:val="32"/>
          <w:u w:val="single"/>
        </w:rPr>
      </w:pPr>
      <w:r>
        <w:rPr>
          <w:b/>
          <w:sz w:val="32"/>
        </w:rPr>
        <w:t>项  目  名  称：</w:t>
      </w:r>
      <w:r>
        <w:rPr>
          <w:sz w:val="32"/>
          <w:u w:val="single"/>
        </w:rPr>
        <w:t>_______________________</w:t>
      </w:r>
    </w:p>
    <w:p>
      <w:pPr>
        <w:spacing w:line="360" w:lineRule="auto"/>
        <w:jc w:val="center"/>
        <w:rPr>
          <w:b/>
          <w:sz w:val="32"/>
        </w:rPr>
      </w:pPr>
      <w:r>
        <w:rPr>
          <w:b/>
          <w:sz w:val="32"/>
        </w:rPr>
        <w:t>签  订  地  点：</w:t>
      </w:r>
      <w:r>
        <w:rPr>
          <w:sz w:val="32"/>
          <w:u w:val="single"/>
        </w:rPr>
        <w:t>_______________________</w:t>
      </w:r>
    </w:p>
    <w:p>
      <w:pPr>
        <w:spacing w:line="360" w:lineRule="auto"/>
        <w:jc w:val="center"/>
        <w:rPr>
          <w:b/>
          <w:sz w:val="32"/>
        </w:rPr>
      </w:pPr>
      <w:r>
        <w:rPr>
          <w:b/>
          <w:sz w:val="32"/>
        </w:rPr>
        <w:t>签  订  时  间：</w:t>
      </w:r>
      <w:r>
        <w:rPr>
          <w:sz w:val="32"/>
          <w:u w:val="single"/>
        </w:rPr>
        <w:t>_______________________</w:t>
      </w:r>
    </w:p>
    <w:p>
      <w:pPr>
        <w:spacing w:line="360" w:lineRule="auto"/>
        <w:jc w:val="center"/>
        <w:rPr>
          <w:sz w:val="32"/>
          <w:u w:val="single"/>
        </w:rPr>
      </w:pPr>
      <w:r>
        <w:rPr>
          <w:b/>
          <w:sz w:val="32"/>
        </w:rPr>
        <w:t>有  效  期  限：</w:t>
      </w:r>
      <w:r>
        <w:rPr>
          <w:sz w:val="32"/>
          <w:u w:val="single"/>
        </w:rPr>
        <w:t>_______________________</w:t>
      </w:r>
    </w:p>
    <w:p>
      <w:pPr>
        <w:spacing w:line="360" w:lineRule="auto"/>
        <w:rPr>
          <w:sz w:val="52"/>
        </w:rPr>
      </w:pPr>
    </w:p>
    <w:p>
      <w:pPr>
        <w:spacing w:line="360" w:lineRule="auto"/>
        <w:rPr>
          <w:sz w:val="52"/>
        </w:rPr>
      </w:pPr>
    </w:p>
    <w:p>
      <w:pPr>
        <w:spacing w:line="360" w:lineRule="auto"/>
        <w:jc w:val="both"/>
        <w:rPr>
          <w:sz w:val="52"/>
        </w:rPr>
      </w:pPr>
      <w:r>
        <w:rPr>
          <w:b/>
          <w:szCs w:val="21"/>
        </w:rPr>
        <w:t>（注：此合同为参考合同，以本招标文件的《用户需求书》的要求为基础，根据招标人需求签订合同，以招标人与成交单位签订成交合同为准，招标人有权在签订合同时对合同的相关条款及内容作进一步的细化和修改。）</w:t>
      </w:r>
    </w:p>
    <w:p>
      <w:pPr>
        <w:rPr>
          <w:sz w:val="32"/>
        </w:rPr>
      </w:pPr>
    </w:p>
    <w:p>
      <w:pPr>
        <w:rPr>
          <w:sz w:val="32"/>
        </w:rPr>
      </w:pPr>
    </w:p>
    <w:p>
      <w:pPr>
        <w:jc w:val="center"/>
        <w:rPr>
          <w:sz w:val="32"/>
        </w:rPr>
      </w:pPr>
      <w:r>
        <w:rPr>
          <w:sz w:val="32"/>
        </w:rPr>
        <w:t>20</w:t>
      </w:r>
      <w:r>
        <w:rPr>
          <w:rFonts w:hint="eastAsia"/>
          <w:sz w:val="32"/>
          <w:lang w:val="en-US" w:eastAsia="zh-CN"/>
        </w:rPr>
        <w:t>20</w:t>
      </w:r>
      <w:r>
        <w:rPr>
          <w:sz w:val="32"/>
        </w:rPr>
        <w:t>年   月    日</w:t>
      </w:r>
    </w:p>
    <w:p>
      <w:pPr>
        <w:jc w:val="center"/>
        <w:rPr>
          <w:sz w:val="32"/>
        </w:rPr>
      </w:pPr>
    </w:p>
    <w:p>
      <w:pPr>
        <w:tabs>
          <w:tab w:val="left" w:pos="840"/>
        </w:tabs>
        <w:spacing w:line="460" w:lineRule="atLeast"/>
        <w:ind w:firstLine="420" w:firstLineChars="200"/>
        <w:rPr>
          <w:kern w:val="28"/>
        </w:rPr>
      </w:pPr>
      <w:r>
        <w:br w:type="page"/>
      </w:r>
      <w:r>
        <w:t>根据</w:t>
      </w:r>
      <w:r>
        <w:rPr>
          <w:rFonts w:hint="eastAsia"/>
        </w:rPr>
        <w:t>中山市坦洲镇污水处理有限公司的</w:t>
      </w:r>
      <w:r>
        <w:rPr>
          <w:rFonts w:hint="eastAsia"/>
          <w:lang w:eastAsia="zh-CN"/>
        </w:rPr>
        <w:t>中山市坦洲镇污水处理有限公司消毒剂采购项目</w:t>
      </w:r>
      <w:r>
        <w:t xml:space="preserve"> (招标编号</w:t>
      </w:r>
      <w:r>
        <w:rPr>
          <w:szCs w:val="21"/>
        </w:rPr>
        <w:t>：</w:t>
      </w:r>
      <w:r>
        <w:rPr>
          <w:rFonts w:hint="eastAsia"/>
          <w:lang w:eastAsia="zh-CN"/>
        </w:rPr>
        <w:t>GDJX202004GK103</w:t>
      </w:r>
      <w:r>
        <w:rPr>
          <w:szCs w:val="21"/>
        </w:rPr>
        <w:t>）的</w:t>
      </w:r>
      <w:r>
        <w:t>招标结果，</w:t>
      </w:r>
      <w:r>
        <w:rPr>
          <w:kern w:val="28"/>
        </w:rPr>
        <w:t>________________（以下简称买方）与</w:t>
      </w:r>
      <w:r>
        <w:rPr>
          <w:kern w:val="28"/>
          <w:u w:val="single"/>
        </w:rPr>
        <w:t xml:space="preserve">                 </w:t>
      </w:r>
      <w:r>
        <w:rPr>
          <w:kern w:val="28"/>
        </w:rPr>
        <w:t>（以下简称卖方）就卖方向</w:t>
      </w:r>
      <w:r>
        <w:t>买方</w:t>
      </w:r>
      <w:r>
        <w:rPr>
          <w:kern w:val="28"/>
        </w:rPr>
        <w:t>提供的货物和服务，经买卖双方协商一致，签订本合同，共同遵守如下条款：</w:t>
      </w:r>
    </w:p>
    <w:p>
      <w:pPr>
        <w:widowControl w:val="0"/>
        <w:numPr>
          <w:ilvl w:val="0"/>
          <w:numId w:val="29"/>
        </w:numPr>
        <w:tabs>
          <w:tab w:val="left" w:pos="840"/>
        </w:tabs>
        <w:spacing w:line="460" w:lineRule="atLeast"/>
        <w:jc w:val="both"/>
        <w:rPr>
          <w:b/>
          <w:sz w:val="24"/>
        </w:rPr>
      </w:pPr>
      <w:r>
        <w:rPr>
          <w:b/>
          <w:sz w:val="24"/>
        </w:rPr>
        <w:t>合同标的</w:t>
      </w:r>
    </w:p>
    <w:p>
      <w:pPr>
        <w:widowControl w:val="0"/>
        <w:numPr>
          <w:ilvl w:val="0"/>
          <w:numId w:val="30"/>
        </w:numPr>
        <w:tabs>
          <w:tab w:val="left" w:pos="840"/>
        </w:tabs>
        <w:spacing w:line="460" w:lineRule="atLeast"/>
        <w:jc w:val="both"/>
        <w:rPr>
          <w:kern w:val="28"/>
          <w:szCs w:val="21"/>
        </w:rPr>
      </w:pPr>
      <w:r>
        <w:rPr>
          <w:kern w:val="28"/>
          <w:szCs w:val="21"/>
        </w:rPr>
        <w:t>合同内容包括货物供货、运输、仓储、保险、调试、培训、验收、技术服务（包括技术资料、图纸的提供）、质保期保障等全部相关服务。</w:t>
      </w:r>
    </w:p>
    <w:p>
      <w:pPr>
        <w:widowControl w:val="0"/>
        <w:numPr>
          <w:ilvl w:val="0"/>
          <w:numId w:val="30"/>
        </w:numPr>
        <w:tabs>
          <w:tab w:val="left" w:pos="840"/>
        </w:tabs>
        <w:spacing w:line="460" w:lineRule="atLeast"/>
        <w:jc w:val="both"/>
        <w:rPr>
          <w:szCs w:val="21"/>
        </w:rPr>
      </w:pPr>
      <w:r>
        <w:rPr>
          <w:szCs w:val="21"/>
        </w:rPr>
        <w:t>货物名称、型号、规格、制造商、数量</w:t>
      </w:r>
    </w:p>
    <w:tbl>
      <w:tblPr>
        <w:tblStyle w:val="47"/>
        <w:tblW w:w="1095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636"/>
        <w:gridCol w:w="2122"/>
        <w:gridCol w:w="1273"/>
        <w:gridCol w:w="1061"/>
        <w:gridCol w:w="1061"/>
        <w:gridCol w:w="1168"/>
        <w:gridCol w:w="1168"/>
        <w:gridCol w:w="1168"/>
        <w:gridCol w:w="12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389" w:hRule="atLeast"/>
          <w:jc w:val="center"/>
        </w:trPr>
        <w:tc>
          <w:tcPr>
            <w:tcW w:w="636"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序号</w:t>
            </w:r>
          </w:p>
        </w:tc>
        <w:tc>
          <w:tcPr>
            <w:tcW w:w="2122"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名称</w:t>
            </w:r>
          </w:p>
        </w:tc>
        <w:tc>
          <w:tcPr>
            <w:tcW w:w="1273"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规格</w:t>
            </w:r>
          </w:p>
        </w:tc>
        <w:tc>
          <w:tcPr>
            <w:tcW w:w="1061"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制造商</w:t>
            </w:r>
          </w:p>
        </w:tc>
        <w:tc>
          <w:tcPr>
            <w:tcW w:w="1061"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单位</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数量</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单价</w:t>
            </w:r>
          </w:p>
        </w:tc>
        <w:tc>
          <w:tcPr>
            <w:tcW w:w="1168"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总价</w:t>
            </w:r>
          </w:p>
        </w:tc>
        <w:tc>
          <w:tcPr>
            <w:tcW w:w="1293" w:type="dxa"/>
            <w:tcBorders>
              <w:top w:val="double" w:color="auto" w:sz="4" w:space="0"/>
              <w:bottom w:val="single" w:color="auto" w:sz="6" w:space="0"/>
            </w:tcBorders>
            <w:shd w:val="clear" w:color="auto" w:fill="D9D9D9"/>
            <w:vAlign w:val="center"/>
          </w:tcPr>
          <w:p>
            <w:pPr>
              <w:autoSpaceDE w:val="0"/>
              <w:autoSpaceDN w:val="0"/>
              <w:adjustRightInd w:val="0"/>
              <w:spacing w:line="460" w:lineRule="atLeast"/>
              <w:jc w:val="center"/>
              <w:rPr>
                <w:b/>
              </w:rPr>
            </w:pPr>
            <w:r>
              <w:rPr>
                <w:b/>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296" w:hRule="atLeast"/>
          <w:jc w:val="center"/>
        </w:trPr>
        <w:tc>
          <w:tcPr>
            <w:tcW w:w="636" w:type="dxa"/>
            <w:tcBorders>
              <w:top w:val="single" w:color="auto" w:sz="6" w:space="0"/>
            </w:tcBorders>
            <w:vAlign w:val="center"/>
          </w:tcPr>
          <w:p>
            <w:pPr>
              <w:autoSpaceDE w:val="0"/>
              <w:autoSpaceDN w:val="0"/>
              <w:adjustRightInd w:val="0"/>
              <w:spacing w:line="460" w:lineRule="atLeast"/>
              <w:jc w:val="center"/>
            </w:pPr>
          </w:p>
        </w:tc>
        <w:tc>
          <w:tcPr>
            <w:tcW w:w="2122" w:type="dxa"/>
            <w:tcBorders>
              <w:top w:val="single" w:color="auto" w:sz="6" w:space="0"/>
            </w:tcBorders>
            <w:vAlign w:val="center"/>
          </w:tcPr>
          <w:p>
            <w:pPr>
              <w:autoSpaceDE w:val="0"/>
              <w:autoSpaceDN w:val="0"/>
              <w:adjustRightInd w:val="0"/>
              <w:spacing w:line="460" w:lineRule="atLeast"/>
              <w:jc w:val="center"/>
            </w:pPr>
          </w:p>
        </w:tc>
        <w:tc>
          <w:tcPr>
            <w:tcW w:w="1273" w:type="dxa"/>
            <w:tcBorders>
              <w:top w:val="single" w:color="auto" w:sz="6" w:space="0"/>
            </w:tcBorders>
            <w:vAlign w:val="center"/>
          </w:tcPr>
          <w:p>
            <w:pPr>
              <w:autoSpaceDE w:val="0"/>
              <w:autoSpaceDN w:val="0"/>
              <w:adjustRightInd w:val="0"/>
              <w:spacing w:line="460" w:lineRule="atLeast"/>
              <w:jc w:val="center"/>
            </w:pPr>
          </w:p>
        </w:tc>
        <w:tc>
          <w:tcPr>
            <w:tcW w:w="1061" w:type="dxa"/>
            <w:tcBorders>
              <w:top w:val="single" w:color="auto" w:sz="6" w:space="0"/>
            </w:tcBorders>
            <w:vAlign w:val="center"/>
          </w:tcPr>
          <w:p>
            <w:pPr>
              <w:autoSpaceDE w:val="0"/>
              <w:autoSpaceDN w:val="0"/>
              <w:adjustRightInd w:val="0"/>
              <w:spacing w:line="460" w:lineRule="atLeast"/>
              <w:jc w:val="center"/>
            </w:pPr>
          </w:p>
        </w:tc>
        <w:tc>
          <w:tcPr>
            <w:tcW w:w="1061" w:type="dxa"/>
            <w:tcBorders>
              <w:top w:val="single" w:color="auto" w:sz="6" w:space="0"/>
            </w:tcBorders>
            <w:vAlign w:val="center"/>
          </w:tcPr>
          <w:p>
            <w:pPr>
              <w:autoSpaceDE w:val="0"/>
              <w:autoSpaceDN w:val="0"/>
              <w:adjustRightInd w:val="0"/>
              <w:spacing w:line="460" w:lineRule="atLeast"/>
              <w:jc w:val="center"/>
            </w:pPr>
          </w:p>
        </w:tc>
        <w:tc>
          <w:tcPr>
            <w:tcW w:w="1168" w:type="dxa"/>
            <w:tcBorders>
              <w:top w:val="single" w:color="auto" w:sz="6" w:space="0"/>
            </w:tcBorders>
            <w:vAlign w:val="top"/>
          </w:tcPr>
          <w:p>
            <w:pPr>
              <w:autoSpaceDE w:val="0"/>
              <w:autoSpaceDN w:val="0"/>
              <w:adjustRightInd w:val="0"/>
              <w:spacing w:line="460" w:lineRule="atLeast"/>
              <w:jc w:val="center"/>
            </w:pPr>
          </w:p>
        </w:tc>
        <w:tc>
          <w:tcPr>
            <w:tcW w:w="1168" w:type="dxa"/>
            <w:tcBorders>
              <w:top w:val="single" w:color="auto" w:sz="6" w:space="0"/>
            </w:tcBorders>
            <w:vAlign w:val="top"/>
          </w:tcPr>
          <w:p>
            <w:pPr>
              <w:autoSpaceDE w:val="0"/>
              <w:autoSpaceDN w:val="0"/>
              <w:adjustRightInd w:val="0"/>
              <w:spacing w:line="460" w:lineRule="atLeast"/>
              <w:jc w:val="center"/>
            </w:pPr>
          </w:p>
        </w:tc>
        <w:tc>
          <w:tcPr>
            <w:tcW w:w="1168" w:type="dxa"/>
            <w:tcBorders>
              <w:top w:val="single" w:color="auto" w:sz="6" w:space="0"/>
            </w:tcBorders>
            <w:vAlign w:val="center"/>
          </w:tcPr>
          <w:p>
            <w:pPr>
              <w:autoSpaceDE w:val="0"/>
              <w:autoSpaceDN w:val="0"/>
              <w:adjustRightInd w:val="0"/>
              <w:spacing w:line="460" w:lineRule="atLeast"/>
              <w:jc w:val="center"/>
            </w:pPr>
          </w:p>
        </w:tc>
        <w:tc>
          <w:tcPr>
            <w:tcW w:w="1293" w:type="dxa"/>
            <w:tcBorders>
              <w:top w:val="single" w:color="auto" w:sz="6" w:space="0"/>
            </w:tcBorders>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286"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center"/>
          </w:tcPr>
          <w:p>
            <w:pPr>
              <w:autoSpaceDE w:val="0"/>
              <w:autoSpaceDN w:val="0"/>
              <w:adjustRightInd w:val="0"/>
              <w:spacing w:line="460" w:lineRule="atLeast"/>
              <w:jc w:val="center"/>
            </w:pPr>
          </w:p>
        </w:tc>
        <w:tc>
          <w:tcPr>
            <w:tcW w:w="1293" w:type="dxa"/>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304"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061" w:type="dxa"/>
            <w:vAlign w:val="center"/>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top"/>
          </w:tcPr>
          <w:p>
            <w:pPr>
              <w:autoSpaceDE w:val="0"/>
              <w:autoSpaceDN w:val="0"/>
              <w:adjustRightInd w:val="0"/>
              <w:spacing w:line="460" w:lineRule="atLeast"/>
              <w:jc w:val="center"/>
            </w:pPr>
          </w:p>
        </w:tc>
        <w:tc>
          <w:tcPr>
            <w:tcW w:w="1168" w:type="dxa"/>
            <w:vAlign w:val="center"/>
          </w:tcPr>
          <w:p>
            <w:pPr>
              <w:autoSpaceDE w:val="0"/>
              <w:autoSpaceDN w:val="0"/>
              <w:adjustRightInd w:val="0"/>
              <w:spacing w:line="460" w:lineRule="atLeast"/>
              <w:jc w:val="center"/>
            </w:pPr>
          </w:p>
        </w:tc>
        <w:tc>
          <w:tcPr>
            <w:tcW w:w="1293" w:type="dxa"/>
            <w:vAlign w:val="center"/>
          </w:tcPr>
          <w:p>
            <w:pPr>
              <w:autoSpaceDE w:val="0"/>
              <w:autoSpaceDN w:val="0"/>
              <w:adjustRightInd w:val="0"/>
              <w:spacing w:line="460" w:lineRule="atLeast"/>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294"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298"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288"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306" w:hRule="atLeast"/>
          <w:jc w:val="center"/>
        </w:trPr>
        <w:tc>
          <w:tcPr>
            <w:tcW w:w="636" w:type="dxa"/>
            <w:vAlign w:val="center"/>
          </w:tcPr>
          <w:p>
            <w:pPr>
              <w:autoSpaceDE w:val="0"/>
              <w:autoSpaceDN w:val="0"/>
              <w:adjustRightInd w:val="0"/>
              <w:spacing w:line="460" w:lineRule="atLeast"/>
              <w:jc w:val="center"/>
            </w:pPr>
          </w:p>
        </w:tc>
        <w:tc>
          <w:tcPr>
            <w:tcW w:w="2122" w:type="dxa"/>
            <w:vAlign w:val="center"/>
          </w:tcPr>
          <w:p>
            <w:pPr>
              <w:autoSpaceDE w:val="0"/>
              <w:autoSpaceDN w:val="0"/>
              <w:adjustRightInd w:val="0"/>
              <w:spacing w:line="460" w:lineRule="atLeast"/>
              <w:jc w:val="center"/>
            </w:pPr>
          </w:p>
        </w:tc>
        <w:tc>
          <w:tcPr>
            <w:tcW w:w="1273"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061" w:type="dxa"/>
            <w:vAlign w:val="center"/>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top"/>
          </w:tcPr>
          <w:p>
            <w:pPr>
              <w:autoSpaceDE w:val="0"/>
              <w:autoSpaceDN w:val="0"/>
              <w:adjustRightInd w:val="0"/>
              <w:spacing w:line="460" w:lineRule="atLeast"/>
              <w:jc w:val="center"/>
              <w:rPr>
                <w:b/>
              </w:rPr>
            </w:pPr>
          </w:p>
        </w:tc>
        <w:tc>
          <w:tcPr>
            <w:tcW w:w="1168" w:type="dxa"/>
            <w:vAlign w:val="center"/>
          </w:tcPr>
          <w:p>
            <w:pPr>
              <w:autoSpaceDE w:val="0"/>
              <w:autoSpaceDN w:val="0"/>
              <w:adjustRightInd w:val="0"/>
              <w:spacing w:line="460" w:lineRule="atLeast"/>
              <w:jc w:val="center"/>
              <w:rPr>
                <w:b/>
              </w:rPr>
            </w:pPr>
          </w:p>
        </w:tc>
        <w:tc>
          <w:tcPr>
            <w:tcW w:w="1293" w:type="dxa"/>
            <w:vAlign w:val="center"/>
          </w:tcPr>
          <w:p>
            <w:pPr>
              <w:autoSpaceDE w:val="0"/>
              <w:autoSpaceDN w:val="0"/>
              <w:adjustRightInd w:val="0"/>
              <w:spacing w:line="460" w:lineRule="atLeast"/>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306" w:hRule="atLeast"/>
          <w:jc w:val="center"/>
        </w:trPr>
        <w:tc>
          <w:tcPr>
            <w:tcW w:w="10950" w:type="dxa"/>
            <w:gridSpan w:val="9"/>
            <w:vAlign w:val="center"/>
          </w:tcPr>
          <w:p>
            <w:pPr>
              <w:autoSpaceDE w:val="0"/>
              <w:autoSpaceDN w:val="0"/>
              <w:adjustRightInd w:val="0"/>
              <w:spacing w:line="460" w:lineRule="atLeast"/>
              <w:rPr>
                <w:b/>
              </w:rPr>
            </w:pPr>
            <w:r>
              <w:rPr>
                <w:b/>
              </w:rPr>
              <w:t>小计: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trHeight w:val="306" w:hRule="atLeast"/>
          <w:jc w:val="center"/>
        </w:trPr>
        <w:tc>
          <w:tcPr>
            <w:tcW w:w="10950" w:type="dxa"/>
            <w:gridSpan w:val="9"/>
            <w:vAlign w:val="center"/>
          </w:tcPr>
          <w:p>
            <w:pPr>
              <w:autoSpaceDE w:val="0"/>
              <w:autoSpaceDN w:val="0"/>
              <w:adjustRightInd w:val="0"/>
              <w:spacing w:line="460" w:lineRule="atLeast"/>
              <w:rPr>
                <w:b/>
              </w:rPr>
            </w:pPr>
            <w:r>
              <w:rPr>
                <w:b/>
              </w:rPr>
              <w:t>具体的供货范围、技术规格详见合同附件</w:t>
            </w:r>
            <w:r>
              <w:rPr>
                <w:b/>
                <w:u w:val="single"/>
              </w:rPr>
              <w:t xml:space="preserve">    </w:t>
            </w:r>
            <w:r>
              <w:rPr>
                <w:b/>
              </w:rPr>
              <w:t>。</w:t>
            </w:r>
          </w:p>
        </w:tc>
      </w:tr>
    </w:tbl>
    <w:p>
      <w:pPr>
        <w:widowControl w:val="0"/>
        <w:numPr>
          <w:ilvl w:val="0"/>
          <w:numId w:val="29"/>
        </w:numPr>
        <w:tabs>
          <w:tab w:val="left" w:pos="840"/>
        </w:tabs>
        <w:spacing w:line="460" w:lineRule="atLeast"/>
        <w:jc w:val="both"/>
        <w:rPr>
          <w:b/>
          <w:sz w:val="24"/>
        </w:rPr>
      </w:pPr>
      <w:r>
        <w:rPr>
          <w:b/>
          <w:sz w:val="24"/>
        </w:rPr>
        <w:t>价格</w:t>
      </w:r>
    </w:p>
    <w:p>
      <w:pPr>
        <w:spacing w:line="460" w:lineRule="atLeast"/>
        <w:rPr>
          <w:szCs w:val="21"/>
        </w:rPr>
      </w:pPr>
      <w:r>
        <w:rPr>
          <w:szCs w:val="21"/>
        </w:rPr>
        <w:t xml:space="preserve">1.  合同总价： </w:t>
      </w:r>
    </w:p>
    <w:p>
      <w:pPr>
        <w:spacing w:line="460" w:lineRule="atLeast"/>
        <w:rPr>
          <w:szCs w:val="21"/>
        </w:rPr>
      </w:pPr>
      <w:r>
        <w:rPr>
          <w:szCs w:val="21"/>
        </w:rPr>
        <w:t xml:space="preserve">           （人民币）大写</w:t>
      </w:r>
      <w:r>
        <w:rPr>
          <w:szCs w:val="21"/>
          <w:u w:val="single"/>
        </w:rPr>
        <w:t xml:space="preserve">                                  </w:t>
      </w:r>
      <w:r>
        <w:rPr>
          <w:szCs w:val="21"/>
        </w:rPr>
        <w:t>(￥</w:t>
      </w:r>
      <w:r>
        <w:rPr>
          <w:szCs w:val="21"/>
          <w:u w:val="single"/>
        </w:rPr>
        <w:t xml:space="preserve">              </w:t>
      </w:r>
      <w:r>
        <w:rPr>
          <w:szCs w:val="21"/>
        </w:rPr>
        <w:t>)。</w:t>
      </w:r>
    </w:p>
    <w:p>
      <w:pPr>
        <w:spacing w:line="460" w:lineRule="atLeast"/>
        <w:rPr>
          <w:b/>
          <w:szCs w:val="21"/>
        </w:rPr>
      </w:pPr>
      <w:r>
        <w:rPr>
          <w:szCs w:val="21"/>
        </w:rPr>
        <w:t xml:space="preserve"> 其中：（1）</w:t>
      </w:r>
      <w:r>
        <w:rPr>
          <w:rFonts w:hint="eastAsia"/>
          <w:szCs w:val="21"/>
          <w:lang w:eastAsia="zh-CN"/>
        </w:rPr>
        <w:t>货物</w:t>
      </w:r>
      <w:r>
        <w:rPr>
          <w:szCs w:val="21"/>
        </w:rPr>
        <w:t>总价：</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42"/>
        <w:rPr>
          <w:szCs w:val="21"/>
        </w:rPr>
      </w:pPr>
      <w:r>
        <w:rPr>
          <w:szCs w:val="21"/>
        </w:rPr>
        <w:t>（2）运杂费、保险费：</w:t>
      </w:r>
    </w:p>
    <w:p>
      <w:pPr>
        <w:spacing w:line="460" w:lineRule="atLeast"/>
        <w:ind w:firstLine="1260" w:firstLineChars="60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35" w:firstLineChars="350"/>
        <w:rPr>
          <w:szCs w:val="21"/>
        </w:rPr>
      </w:pPr>
      <w:r>
        <w:rPr>
          <w:szCs w:val="21"/>
        </w:rPr>
        <w:t>（3）安装费、调试费、培训费：</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spacing w:line="460" w:lineRule="atLeast"/>
        <w:ind w:firstLine="735" w:firstLineChars="350"/>
        <w:rPr>
          <w:szCs w:val="21"/>
        </w:rPr>
      </w:pPr>
      <w:r>
        <w:rPr>
          <w:szCs w:val="21"/>
        </w:rPr>
        <w:t>（4）其它费用：</w:t>
      </w:r>
    </w:p>
    <w:p>
      <w:pPr>
        <w:spacing w:line="460" w:lineRule="atLeast"/>
        <w:ind w:firstLine="1260"/>
        <w:rPr>
          <w:szCs w:val="21"/>
        </w:rPr>
      </w:pPr>
      <w:r>
        <w:rPr>
          <w:szCs w:val="21"/>
        </w:rPr>
        <w:t>（人民币）大写</w:t>
      </w:r>
      <w:r>
        <w:rPr>
          <w:szCs w:val="21"/>
          <w:u w:val="single"/>
        </w:rPr>
        <w:t xml:space="preserve">                                 </w:t>
      </w:r>
      <w:r>
        <w:rPr>
          <w:szCs w:val="21"/>
        </w:rPr>
        <w:t>(￥</w:t>
      </w:r>
      <w:r>
        <w:rPr>
          <w:szCs w:val="21"/>
          <w:u w:val="single"/>
        </w:rPr>
        <w:t xml:space="preserve">              </w:t>
      </w:r>
      <w:r>
        <w:rPr>
          <w:szCs w:val="21"/>
        </w:rPr>
        <w:t>)。</w:t>
      </w:r>
    </w:p>
    <w:p>
      <w:pPr>
        <w:pStyle w:val="23"/>
        <w:keepNext w:val="0"/>
        <w:keepLines w:val="0"/>
        <w:pageBreakBefore w:val="0"/>
        <w:kinsoku/>
        <w:wordWrap/>
        <w:overflowPunct/>
        <w:topLinePunct w:val="0"/>
        <w:bidi w:val="0"/>
        <w:spacing w:line="440" w:lineRule="exact"/>
        <w:ind w:left="424" w:hanging="424"/>
        <w:outlineLvl w:val="9"/>
        <w:rPr>
          <w:rFonts w:ascii="Times New Roman" w:hAnsi="Times New Roman"/>
          <w:szCs w:val="21"/>
          <w:u w:val="single"/>
        </w:rPr>
      </w:pPr>
      <w:r>
        <w:rPr>
          <w:rFonts w:ascii="Times New Roman" w:hAnsi="Times New Roman"/>
          <w:szCs w:val="21"/>
        </w:rPr>
        <w:t>2.  总价包括了</w:t>
      </w:r>
      <w:r>
        <w:rPr>
          <w:rFonts w:hint="eastAsia" w:ascii="Times New Roman" w:hAnsi="Times New Roman"/>
          <w:kern w:val="28"/>
          <w:szCs w:val="21"/>
          <w:lang w:eastAsia="zh-CN"/>
        </w:rPr>
        <w:t>货物</w:t>
      </w:r>
      <w:r>
        <w:rPr>
          <w:rFonts w:ascii="Times New Roman" w:hAnsi="Times New Roman"/>
          <w:kern w:val="28"/>
          <w:szCs w:val="21"/>
        </w:rPr>
        <w:t>各内容的</w:t>
      </w:r>
      <w:r>
        <w:rPr>
          <w:rFonts w:ascii="Times New Roman" w:hAnsi="Times New Roman"/>
          <w:szCs w:val="21"/>
        </w:rPr>
        <w:t>货物材料、配套设施、软件、包装、税费（包括关税、增值税）、运费、保险费、</w:t>
      </w:r>
      <w:r>
        <w:rPr>
          <w:rFonts w:ascii="Times New Roman" w:hAnsi="Times New Roman"/>
          <w:kern w:val="28"/>
          <w:szCs w:val="21"/>
        </w:rPr>
        <w:t>安装、调试</w:t>
      </w:r>
      <w:r>
        <w:rPr>
          <w:rFonts w:ascii="Times New Roman" w:hAnsi="Times New Roman"/>
          <w:szCs w:val="21"/>
        </w:rPr>
        <w:t>、培训费、图纸、资料、质保期内和免费上门服务期内等的全部费用。价格明细清单见合同附件</w:t>
      </w:r>
      <w:r>
        <w:rPr>
          <w:rFonts w:ascii="Times New Roman" w:hAnsi="Times New Roman"/>
          <w:szCs w:val="21"/>
          <w:u w:val="single"/>
        </w:rPr>
        <w:t xml:space="preserve">   </w:t>
      </w:r>
      <w:r>
        <w:rPr>
          <w:rFonts w:ascii="Times New Roman" w:hAnsi="Times New Roman"/>
          <w:szCs w:val="21"/>
        </w:rPr>
        <w:t>。</w:t>
      </w:r>
    </w:p>
    <w:p>
      <w:pPr>
        <w:keepNext w:val="0"/>
        <w:keepLines w:val="0"/>
        <w:pageBreakBefore w:val="0"/>
        <w:widowControl w:val="0"/>
        <w:numPr>
          <w:ilvl w:val="0"/>
          <w:numId w:val="31"/>
        </w:numPr>
        <w:tabs>
          <w:tab w:val="left" w:pos="424"/>
          <w:tab w:val="clear" w:pos="630"/>
        </w:tabs>
        <w:kinsoku/>
        <w:wordWrap/>
        <w:overflowPunct/>
        <w:topLinePunct w:val="0"/>
        <w:bidi w:val="0"/>
        <w:spacing w:line="440" w:lineRule="exact"/>
        <w:jc w:val="both"/>
        <w:outlineLvl w:val="9"/>
        <w:rPr>
          <w:szCs w:val="21"/>
        </w:rPr>
      </w:pPr>
      <w:r>
        <w:rPr>
          <w:szCs w:val="21"/>
        </w:rPr>
        <w:t>如合同内容没有变更，本合同价格为固定不变价。</w:t>
      </w:r>
    </w:p>
    <w:p>
      <w:pPr>
        <w:keepNext w:val="0"/>
        <w:keepLines w:val="0"/>
        <w:pageBreakBefore w:val="0"/>
        <w:widowControl w:val="0"/>
        <w:numPr>
          <w:ilvl w:val="0"/>
          <w:numId w:val="31"/>
        </w:numPr>
        <w:tabs>
          <w:tab w:val="left" w:pos="424"/>
          <w:tab w:val="clear" w:pos="630"/>
        </w:tabs>
        <w:kinsoku/>
        <w:wordWrap/>
        <w:overflowPunct/>
        <w:topLinePunct w:val="0"/>
        <w:bidi w:val="0"/>
        <w:spacing w:line="440" w:lineRule="exact"/>
        <w:jc w:val="both"/>
        <w:outlineLvl w:val="9"/>
        <w:rPr>
          <w:szCs w:val="21"/>
        </w:rPr>
      </w:pPr>
      <w:r>
        <w:rPr>
          <w:szCs w:val="21"/>
        </w:rPr>
        <w:t>如果单价和数量的乘积与总价不一致时，以单价为准并修正总价。</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货物产地及标准</w:t>
      </w:r>
    </w:p>
    <w:p>
      <w:pPr>
        <w:keepNext w:val="0"/>
        <w:keepLines w:val="0"/>
        <w:pageBreakBefore w:val="0"/>
        <w:numPr>
          <w:ilvl w:val="1"/>
          <w:numId w:val="32"/>
        </w:numPr>
        <w:tabs>
          <w:tab w:val="left" w:pos="424"/>
          <w:tab w:val="clear" w:pos="840"/>
        </w:tabs>
        <w:kinsoku/>
        <w:wordWrap/>
        <w:overflowPunct/>
        <w:topLinePunct w:val="0"/>
        <w:bidi w:val="0"/>
        <w:spacing w:line="440" w:lineRule="exact"/>
        <w:ind w:left="424" w:hanging="424"/>
        <w:outlineLvl w:val="9"/>
      </w:pPr>
      <w:r>
        <w:rPr>
          <w:szCs w:val="21"/>
        </w:rPr>
        <w:t>货物为（填写制造商名称）全新的（原装）产品（含零部件、配件、工具等），表面无划伤、无碰撞。</w:t>
      </w:r>
    </w:p>
    <w:p>
      <w:pPr>
        <w:keepNext w:val="0"/>
        <w:keepLines w:val="0"/>
        <w:pageBreakBefore w:val="0"/>
        <w:numPr>
          <w:ilvl w:val="1"/>
          <w:numId w:val="32"/>
        </w:numPr>
        <w:tabs>
          <w:tab w:val="left" w:pos="424"/>
          <w:tab w:val="clear" w:pos="840"/>
        </w:tabs>
        <w:kinsoku/>
        <w:wordWrap/>
        <w:overflowPunct/>
        <w:topLinePunct w:val="0"/>
        <w:bidi w:val="0"/>
        <w:spacing w:line="440" w:lineRule="exact"/>
        <w:ind w:left="424" w:hanging="424"/>
        <w:outlineLvl w:val="9"/>
        <w:rPr>
          <w:szCs w:val="21"/>
        </w:rPr>
      </w:pPr>
      <w:r>
        <w:rPr>
          <w:szCs w:val="21"/>
        </w:rPr>
        <w:t>标准：</w:t>
      </w:r>
    </w:p>
    <w:p>
      <w:pPr>
        <w:keepNext w:val="0"/>
        <w:keepLines w:val="0"/>
        <w:pageBreakBefore w:val="0"/>
        <w:kinsoku/>
        <w:wordWrap/>
        <w:overflowPunct/>
        <w:topLinePunct w:val="0"/>
        <w:bidi w:val="0"/>
        <w:spacing w:line="440" w:lineRule="exact"/>
        <w:ind w:left="420" w:leftChars="200"/>
        <w:outlineLvl w:val="9"/>
      </w:pPr>
      <w: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keepNext w:val="0"/>
        <w:keepLines w:val="0"/>
        <w:pageBreakBefore w:val="0"/>
        <w:numPr>
          <w:ilvl w:val="0"/>
          <w:numId w:val="30"/>
        </w:numPr>
        <w:tabs>
          <w:tab w:val="left" w:pos="630"/>
        </w:tabs>
        <w:kinsoku/>
        <w:wordWrap/>
        <w:overflowPunct/>
        <w:topLinePunct w:val="0"/>
        <w:bidi w:val="0"/>
        <w:spacing w:line="440" w:lineRule="exact"/>
        <w:outlineLvl w:val="9"/>
      </w:pPr>
      <w:r>
        <w:t>国内产品或合资厂的产品必须具备出厂合格证。</w:t>
      </w:r>
    </w:p>
    <w:p>
      <w:pPr>
        <w:keepNext w:val="0"/>
        <w:keepLines w:val="0"/>
        <w:pageBreakBefore w:val="0"/>
        <w:numPr>
          <w:ilvl w:val="0"/>
          <w:numId w:val="30"/>
        </w:numPr>
        <w:tabs>
          <w:tab w:val="left" w:pos="630"/>
        </w:tabs>
        <w:kinsoku/>
        <w:wordWrap/>
        <w:overflowPunct/>
        <w:topLinePunct w:val="0"/>
        <w:bidi w:val="0"/>
        <w:spacing w:line="440" w:lineRule="exact"/>
        <w:outlineLvl w:val="9"/>
      </w:pPr>
      <w:r>
        <w:t>卖方应将所供物品的用户手册、保修手册、有关资料及配件、工具等交付给买方。</w:t>
      </w:r>
    </w:p>
    <w:p>
      <w:pPr>
        <w:keepNext w:val="0"/>
        <w:keepLines w:val="0"/>
        <w:pageBreakBefore w:val="0"/>
        <w:numPr>
          <w:ilvl w:val="0"/>
          <w:numId w:val="30"/>
        </w:numPr>
        <w:tabs>
          <w:tab w:val="left" w:pos="630"/>
        </w:tabs>
        <w:kinsoku/>
        <w:wordWrap/>
        <w:overflowPunct/>
        <w:topLinePunct w:val="0"/>
        <w:bidi w:val="0"/>
        <w:spacing w:line="440" w:lineRule="exact"/>
        <w:outlineLvl w:val="9"/>
      </w:pPr>
      <w:r>
        <w:t>卖方保证所售系统不会侵犯任何第三方权利。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包装、运输及保险</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卖方所供设备必须为制造商原厂包装，包装质量符合国家相关标准，设备的包装均应有良好的防湿、防锈、防潮、防雨、防腐及防碰撞的措施。设备要求有包装材料保护运至现场。凡由于包装不良造成的损失和由此产生的费用均由卖方承担。</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由卖方负责根据买方指定的安装地点, 将设备材料送到现场过程中的全部运输，包括装卸车、设备现场的搬运。</w:t>
      </w:r>
    </w:p>
    <w:p>
      <w:pPr>
        <w:keepNext w:val="0"/>
        <w:keepLines w:val="0"/>
        <w:pageBreakBefore w:val="0"/>
        <w:numPr>
          <w:ilvl w:val="0"/>
          <w:numId w:val="33"/>
        </w:numPr>
        <w:tabs>
          <w:tab w:val="left" w:pos="848"/>
        </w:tabs>
        <w:kinsoku/>
        <w:wordWrap/>
        <w:overflowPunct/>
        <w:topLinePunct w:val="0"/>
        <w:bidi w:val="0"/>
        <w:spacing w:line="440" w:lineRule="exact"/>
        <w:outlineLvl w:val="9"/>
        <w:rPr>
          <w:szCs w:val="21"/>
        </w:rPr>
      </w:pPr>
      <w:r>
        <w:rPr>
          <w:szCs w:val="21"/>
        </w:rPr>
        <w:t>各种设备，必须提供装箱清单，按装箱清单验收设备。</w:t>
      </w:r>
    </w:p>
    <w:p>
      <w:pPr>
        <w:keepNext w:val="0"/>
        <w:keepLines w:val="0"/>
        <w:pageBreakBefore w:val="0"/>
        <w:numPr>
          <w:ilvl w:val="0"/>
          <w:numId w:val="33"/>
        </w:numPr>
        <w:tabs>
          <w:tab w:val="left" w:pos="848"/>
        </w:tabs>
        <w:kinsoku/>
        <w:wordWrap/>
        <w:overflowPunct/>
        <w:topLinePunct w:val="0"/>
        <w:bidi w:val="0"/>
        <w:spacing w:line="440" w:lineRule="exact"/>
        <w:outlineLvl w:val="9"/>
        <w:rPr>
          <w:szCs w:val="21"/>
        </w:rPr>
      </w:pPr>
      <w:r>
        <w:rPr>
          <w:szCs w:val="21"/>
        </w:rPr>
        <w:t>设备在现场的保管由卖方负责，直至项目安装、验收完毕。</w:t>
      </w:r>
    </w:p>
    <w:p>
      <w:pPr>
        <w:keepNext w:val="0"/>
        <w:keepLines w:val="0"/>
        <w:pageBreakBefore w:val="0"/>
        <w:widowControl w:val="0"/>
        <w:numPr>
          <w:ilvl w:val="0"/>
          <w:numId w:val="33"/>
        </w:numPr>
        <w:tabs>
          <w:tab w:val="left" w:pos="824"/>
        </w:tabs>
        <w:kinsoku/>
        <w:wordWrap/>
        <w:overflowPunct/>
        <w:topLinePunct w:val="0"/>
        <w:bidi w:val="0"/>
        <w:spacing w:line="440" w:lineRule="exact"/>
        <w:jc w:val="both"/>
        <w:outlineLvl w:val="9"/>
        <w:rPr>
          <w:szCs w:val="21"/>
        </w:rPr>
      </w:pPr>
      <w:r>
        <w:rPr>
          <w:szCs w:val="21"/>
        </w:rPr>
        <w:t>卖方负责项目交付前设备的保险，负责卖方服务人员服务现场的人身意外保险。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交付使用时间及交货地点</w:t>
      </w:r>
    </w:p>
    <w:p>
      <w:pPr>
        <w:keepNext w:val="0"/>
        <w:keepLines w:val="0"/>
        <w:pageBreakBefore w:val="0"/>
        <w:numPr>
          <w:ilvl w:val="0"/>
          <w:numId w:val="34"/>
        </w:numPr>
        <w:kinsoku/>
        <w:wordWrap/>
        <w:overflowPunct/>
        <w:topLinePunct w:val="0"/>
        <w:bidi w:val="0"/>
        <w:spacing w:line="440" w:lineRule="exact"/>
        <w:outlineLvl w:val="9"/>
        <w:rPr>
          <w:b/>
        </w:rPr>
      </w:pPr>
      <w:r>
        <w:rPr>
          <w:szCs w:val="21"/>
        </w:rPr>
        <w:t>项目完工验收交付使用时间：</w:t>
      </w:r>
      <w:r>
        <w:t>合同签定后</w:t>
      </w:r>
      <w:r>
        <w:rPr>
          <w:rFonts w:hint="eastAsia"/>
          <w:szCs w:val="21"/>
        </w:rPr>
        <w:t>15</w:t>
      </w:r>
      <w:r>
        <w:rPr>
          <w:szCs w:val="21"/>
        </w:rPr>
        <w:t>个日历天</w:t>
      </w:r>
      <w:r>
        <w:t>内完成整个项目的供货、安装、验收合格并交付使用。</w:t>
      </w:r>
    </w:p>
    <w:p>
      <w:pPr>
        <w:keepNext w:val="0"/>
        <w:keepLines w:val="0"/>
        <w:pageBreakBefore w:val="0"/>
        <w:numPr>
          <w:ilvl w:val="0"/>
          <w:numId w:val="34"/>
        </w:numPr>
        <w:kinsoku/>
        <w:wordWrap/>
        <w:overflowPunct/>
        <w:topLinePunct w:val="0"/>
        <w:bidi w:val="0"/>
        <w:spacing w:line="440" w:lineRule="exact"/>
        <w:outlineLvl w:val="9"/>
      </w:pPr>
      <w:r>
        <w:t>交货地点：买方指定地点。</w:t>
      </w:r>
    </w:p>
    <w:p>
      <w:pPr>
        <w:keepNext w:val="0"/>
        <w:keepLines w:val="0"/>
        <w:pageBreakBefore w:val="0"/>
        <w:numPr>
          <w:ilvl w:val="0"/>
          <w:numId w:val="34"/>
        </w:numPr>
        <w:kinsoku/>
        <w:wordWrap/>
        <w:overflowPunct/>
        <w:topLinePunct w:val="0"/>
        <w:bidi w:val="0"/>
        <w:spacing w:line="440" w:lineRule="exact"/>
        <w:outlineLvl w:val="9"/>
        <w:rPr>
          <w:b/>
        </w:rPr>
      </w:pPr>
      <w:r>
        <w:t>本合同标的货物（或服务）到达现场后，由买方使用部门和负责招标的部门根据招标文件及合同共同确认数量、型号、货物具体参数（或服务质量）。安装调试及培训由买方使用部门及卖方共同完成。</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付款</w:t>
      </w:r>
    </w:p>
    <w:p>
      <w:pPr>
        <w:keepNext w:val="0"/>
        <w:keepLines w:val="0"/>
        <w:pageBreakBefore w:val="0"/>
        <w:numPr>
          <w:ilvl w:val="1"/>
          <w:numId w:val="29"/>
        </w:numPr>
        <w:tabs>
          <w:tab w:val="left" w:pos="424"/>
        </w:tabs>
        <w:kinsoku/>
        <w:wordWrap/>
        <w:overflowPunct/>
        <w:topLinePunct w:val="0"/>
        <w:autoSpaceDE w:val="0"/>
        <w:autoSpaceDN w:val="0"/>
        <w:bidi w:val="0"/>
        <w:spacing w:line="440" w:lineRule="exact"/>
        <w:ind w:left="424" w:right="-53" w:hanging="424"/>
        <w:textAlignment w:val="bottom"/>
        <w:outlineLvl w:val="9"/>
      </w:pPr>
      <w:r>
        <w:t>付款办法：</w:t>
      </w:r>
    </w:p>
    <w:p>
      <w:pPr>
        <w:keepNext w:val="0"/>
        <w:keepLines w:val="0"/>
        <w:pageBreakBefore w:val="0"/>
        <w:tabs>
          <w:tab w:val="left" w:pos="374"/>
          <w:tab w:val="left" w:pos="424"/>
        </w:tabs>
        <w:kinsoku/>
        <w:wordWrap/>
        <w:overflowPunct/>
        <w:topLinePunct w:val="0"/>
        <w:autoSpaceDE w:val="0"/>
        <w:autoSpaceDN w:val="0"/>
        <w:bidi w:val="0"/>
        <w:spacing w:line="440" w:lineRule="exact"/>
        <w:ind w:left="424" w:right="-53"/>
        <w:textAlignment w:val="bottom"/>
        <w:outlineLvl w:val="9"/>
      </w:pPr>
      <w:r>
        <w:rPr>
          <w:rFonts w:hint="eastAsia" w:ascii="宋体" w:hAnsi="宋体" w:cs="宋体"/>
          <w:color w:val="000000"/>
          <w:szCs w:val="21"/>
        </w:rPr>
        <w:t>一次性供货完毕的，所有货物验收合格后30日内一次性付清所有合同款项，如分批供货的，在该批次货物验收合格后30日内付清该批次款项。</w:t>
      </w:r>
    </w:p>
    <w:p>
      <w:pPr>
        <w:keepNext w:val="0"/>
        <w:keepLines w:val="0"/>
        <w:pageBreakBefore w:val="0"/>
        <w:numPr>
          <w:ilvl w:val="1"/>
          <w:numId w:val="29"/>
        </w:numPr>
        <w:tabs>
          <w:tab w:val="left" w:pos="424"/>
        </w:tabs>
        <w:kinsoku/>
        <w:wordWrap/>
        <w:overflowPunct/>
        <w:topLinePunct w:val="0"/>
        <w:autoSpaceDE w:val="0"/>
        <w:autoSpaceDN w:val="0"/>
        <w:bidi w:val="0"/>
        <w:spacing w:line="440" w:lineRule="exact"/>
        <w:ind w:left="424" w:right="-53" w:hanging="424"/>
        <w:textAlignment w:val="bottom"/>
        <w:outlineLvl w:val="9"/>
        <w:rPr>
          <w:szCs w:val="21"/>
        </w:rPr>
      </w:pPr>
      <w:r>
        <w:rPr>
          <w:szCs w:val="21"/>
        </w:rPr>
        <w:t>付款方式：采用支票、银行</w:t>
      </w:r>
      <w:r>
        <w:rPr>
          <w:rFonts w:hint="eastAsia"/>
          <w:szCs w:val="21"/>
          <w:lang w:eastAsia="zh-CN"/>
        </w:rPr>
        <w:t>转账两</w:t>
      </w:r>
      <w:r>
        <w:rPr>
          <w:szCs w:val="21"/>
        </w:rPr>
        <w:t>种形式。</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安装与调试</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 xml:space="preserve">1. </w:t>
      </w:r>
      <w:r>
        <w:rPr>
          <w:rFonts w:hint="eastAsia"/>
          <w:szCs w:val="21"/>
          <w:lang w:val="en-US" w:eastAsia="zh-CN"/>
        </w:rPr>
        <w:t xml:space="preserve">  </w:t>
      </w:r>
      <w:r>
        <w:rPr>
          <w:szCs w:val="21"/>
        </w:rPr>
        <w:t xml:space="preserve"> 卖方派出的服务人员应具备相关的专业知识及技术水平，熟悉本合同所述相关货物的规格、技术指标及安装工艺，有足够能力安装调试本合同的货物。</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2． 卖方派出的安装队伍须具有相应安装经验, 保证安装达到本合同附件中的安装、调试、保养服务条款的要求。</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rPr>
          <w:szCs w:val="21"/>
        </w:rPr>
      </w:pPr>
      <w:r>
        <w:rPr>
          <w:szCs w:val="21"/>
        </w:rPr>
        <w:t>3． 卖方必须对买方现场进行详细考察，完全了解工地的状况及环境要求。</w:t>
      </w:r>
    </w:p>
    <w:p>
      <w:pPr>
        <w:keepNext w:val="0"/>
        <w:keepLines w:val="0"/>
        <w:pageBreakBefore w:val="0"/>
        <w:kinsoku/>
        <w:wordWrap/>
        <w:overflowPunct/>
        <w:topLinePunct w:val="0"/>
        <w:bidi w:val="0"/>
        <w:spacing w:line="440" w:lineRule="exact"/>
        <w:outlineLvl w:val="9"/>
        <w:rPr>
          <w:szCs w:val="21"/>
        </w:rPr>
      </w:pPr>
      <w:r>
        <w:rPr>
          <w:szCs w:val="21"/>
        </w:rPr>
        <w:t>4.  卖方负责到用户指定的安装地点进行安装调试。</w:t>
      </w:r>
    </w:p>
    <w:p>
      <w:pPr>
        <w:keepNext w:val="0"/>
        <w:keepLines w:val="0"/>
        <w:pageBreakBefore w:val="0"/>
        <w:kinsoku/>
        <w:wordWrap/>
        <w:overflowPunct/>
        <w:topLinePunct w:val="0"/>
        <w:bidi w:val="0"/>
        <w:spacing w:line="440" w:lineRule="exact"/>
        <w:outlineLvl w:val="9"/>
        <w:rPr>
          <w:szCs w:val="21"/>
        </w:rPr>
      </w:pPr>
      <w:r>
        <w:rPr>
          <w:szCs w:val="21"/>
        </w:rPr>
        <w:t>5.  卖方应设安装负责人，负责安装协调管理工作。</w:t>
      </w:r>
    </w:p>
    <w:p>
      <w:pPr>
        <w:keepNext w:val="0"/>
        <w:keepLines w:val="0"/>
        <w:pageBreakBefore w:val="0"/>
        <w:kinsoku/>
        <w:wordWrap/>
        <w:overflowPunct/>
        <w:topLinePunct w:val="0"/>
        <w:bidi w:val="0"/>
        <w:spacing w:line="440" w:lineRule="exact"/>
        <w:outlineLvl w:val="9"/>
        <w:rPr>
          <w:szCs w:val="21"/>
        </w:rPr>
      </w:pPr>
      <w:r>
        <w:rPr>
          <w:szCs w:val="21"/>
        </w:rPr>
        <w:t>6.  安装所需工具设施物料由卖方自备、自费运到现场，完工后自费搬走。</w:t>
      </w:r>
    </w:p>
    <w:p>
      <w:pPr>
        <w:keepNext w:val="0"/>
        <w:keepLines w:val="0"/>
        <w:pageBreakBefore w:val="0"/>
        <w:tabs>
          <w:tab w:val="left" w:pos="424"/>
        </w:tabs>
        <w:kinsoku/>
        <w:wordWrap/>
        <w:overflowPunct/>
        <w:topLinePunct w:val="0"/>
        <w:autoSpaceDE w:val="0"/>
        <w:autoSpaceDN w:val="0"/>
        <w:bidi w:val="0"/>
        <w:spacing w:line="440" w:lineRule="exact"/>
        <w:ind w:left="420" w:right="-53" w:hanging="420" w:hangingChars="200"/>
        <w:textAlignment w:val="bottom"/>
        <w:outlineLvl w:val="9"/>
      </w:pPr>
      <w:r>
        <w:rPr>
          <w:szCs w:val="21"/>
        </w:rPr>
        <w:t>7.  设备的拆箱、安装、通电、调试等项工作由卖方负责，但必须在买方指定人员的参与下进行。调试的原始记录须经各方签字后作为验收的文件之一。</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现场管理</w:t>
      </w:r>
    </w:p>
    <w:p>
      <w:pPr>
        <w:keepNext w:val="0"/>
        <w:keepLines w:val="0"/>
        <w:pageBreakBefore w:val="0"/>
        <w:tabs>
          <w:tab w:val="left" w:pos="824"/>
        </w:tabs>
        <w:kinsoku/>
        <w:wordWrap/>
        <w:overflowPunct/>
        <w:topLinePunct w:val="0"/>
        <w:bidi w:val="0"/>
        <w:spacing w:line="440" w:lineRule="exact"/>
        <w:ind w:left="317" w:leftChars="1" w:hanging="315" w:hangingChars="150"/>
        <w:outlineLvl w:val="9"/>
      </w:pPr>
      <w:r>
        <w:t>1． 为便于管理，买方和卖方在项目期间的联络，应通过指定的卖方和买方的全权代表进行。</w:t>
      </w:r>
    </w:p>
    <w:p>
      <w:pPr>
        <w:keepNext w:val="0"/>
        <w:keepLines w:val="0"/>
        <w:pageBreakBefore w:val="0"/>
        <w:tabs>
          <w:tab w:val="left" w:pos="824"/>
        </w:tabs>
        <w:kinsoku/>
        <w:wordWrap/>
        <w:overflowPunct/>
        <w:topLinePunct w:val="0"/>
        <w:bidi w:val="0"/>
        <w:spacing w:line="440" w:lineRule="exact"/>
        <w:ind w:left="422" w:leftChars="1" w:hanging="420" w:hangingChars="200"/>
        <w:outlineLvl w:val="9"/>
      </w:pPr>
      <w:r>
        <w:t>2． 从开始交货到竣工验收结束的整个项目期间，买方应实施必要的措施配合卖方做好施工现场的安全工作。</w:t>
      </w:r>
    </w:p>
    <w:p>
      <w:pPr>
        <w:keepNext w:val="0"/>
        <w:keepLines w:val="0"/>
        <w:pageBreakBefore w:val="0"/>
        <w:tabs>
          <w:tab w:val="left" w:pos="824"/>
        </w:tabs>
        <w:kinsoku/>
        <w:wordWrap/>
        <w:overflowPunct/>
        <w:topLinePunct w:val="0"/>
        <w:bidi w:val="0"/>
        <w:spacing w:line="440" w:lineRule="exact"/>
        <w:ind w:left="317" w:leftChars="1" w:hanging="315" w:hangingChars="150"/>
        <w:outlineLvl w:val="9"/>
      </w:pPr>
      <w:r>
        <w:t>3． 卖方派出的服务人员须遵守买方的条例。</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验收方式及质保期</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买卖双方按招标文件、投标文件及本合同和有关附件的规定进行验收，具体要求见合同附件</w:t>
      </w:r>
      <w:r>
        <w:rPr>
          <w:u w:val="single"/>
        </w:rPr>
        <w:t xml:space="preserve">          </w:t>
      </w:r>
      <w:r>
        <w:t>。</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因物品的质量问题发生争议，由广东省或中山市质检部门进行质量鉴定。物品符合质量标准的，鉴定费由买方承担；物品不符合质量标准的，鉴定费由卖方承担。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rPr>
          <w:b/>
          <w:bCs/>
        </w:rPr>
      </w:pPr>
      <w:r>
        <w:rPr>
          <w:szCs w:val="21"/>
        </w:rPr>
        <w:t>对甲方的服务通知，乙方在接报后</w:t>
      </w:r>
      <w:r>
        <w:rPr>
          <w:rFonts w:hint="eastAsia"/>
          <w:szCs w:val="21"/>
        </w:rPr>
        <w:t>6</w:t>
      </w:r>
      <w:r>
        <w:rPr>
          <w:szCs w:val="21"/>
        </w:rPr>
        <w:t>小时内响应，</w:t>
      </w:r>
      <w:r>
        <w:rPr>
          <w:rFonts w:hint="eastAsia"/>
          <w:szCs w:val="21"/>
        </w:rPr>
        <w:t>2</w:t>
      </w:r>
      <w:r>
        <w:rPr>
          <w:szCs w:val="21"/>
        </w:rPr>
        <w:t>4小时内到达现场</w:t>
      </w:r>
      <w:r>
        <w:rPr>
          <w:rFonts w:hint="eastAsia"/>
          <w:szCs w:val="21"/>
        </w:rPr>
        <w:t>。</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rPr>
          <w:b/>
          <w:bCs/>
        </w:rPr>
      </w:pPr>
      <w:r>
        <w:rPr>
          <w:b/>
          <w:bCs/>
        </w:rPr>
        <w:t>在质保期内如有设备或部件不能使用需更换，则该部分设备或部件质保期相应延长。</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产品质量及售后服务</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必须保证所提供的产品必须是完整的、技术先进且全新的（包括所有零配件、专用工具等）专业产品，并且符合国家以及该产品的出厂标准，其技术性能能满足各项技术参数和安全稳定运行的要求。若在调试过程中发现附件不全或不能运行，卖方应无偿补全、完善或更换，并承担用户由此产生的损失。</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rFonts w:ascii="宋体" w:hAnsi="宋体" w:cs="宋体"/>
          <w:color w:val="000000"/>
          <w:szCs w:val="21"/>
        </w:rPr>
        <w:t>产品贮存期：每批出厂的产品都应附有质量证明书，要求到货日期距离贮存期截止日期大于</w:t>
      </w:r>
      <w:r>
        <w:rPr>
          <w:rFonts w:hint="eastAsia" w:ascii="宋体" w:hAnsi="宋体" w:cs="宋体"/>
          <w:color w:val="000000"/>
          <w:szCs w:val="21"/>
        </w:rPr>
        <w:t>20</w:t>
      </w:r>
      <w:r>
        <w:rPr>
          <w:rFonts w:ascii="宋体" w:hAnsi="宋体" w:cs="宋体"/>
          <w:color w:val="000000"/>
          <w:szCs w:val="21"/>
        </w:rPr>
        <w:t>个月。</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szCs w:val="21"/>
        </w:rPr>
        <w:t>对甲方的服务通知，乙方在接报后</w:t>
      </w:r>
      <w:r>
        <w:rPr>
          <w:rFonts w:hint="eastAsia"/>
          <w:szCs w:val="21"/>
        </w:rPr>
        <w:t>6</w:t>
      </w:r>
      <w:r>
        <w:rPr>
          <w:szCs w:val="21"/>
        </w:rPr>
        <w:t>小时内响应，</w:t>
      </w:r>
      <w:r>
        <w:rPr>
          <w:rFonts w:hint="eastAsia"/>
          <w:szCs w:val="21"/>
        </w:rPr>
        <w:t>2</w:t>
      </w:r>
      <w:r>
        <w:rPr>
          <w:szCs w:val="21"/>
        </w:rPr>
        <w:t>4小时内到达现场。</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所有服务方式均为卖方上门保修，即由卖方派人到买方使用现场进行维修，由此产生的一切费用均由卖方承担。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卖方须提供售后技术支持中心的详细资料，提出质保期满后的收费维修、维护内容，费用(该费用不包括在报价总报价内)和服务方式、范围。</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（招标文件中所列以上未提及的内容。）</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培训</w:t>
      </w:r>
    </w:p>
    <w:p>
      <w:pPr>
        <w:keepNext w:val="0"/>
        <w:keepLines w:val="0"/>
        <w:pageBreakBefore w:val="0"/>
        <w:numPr>
          <w:ilvl w:val="0"/>
          <w:numId w:val="35"/>
        </w:numPr>
        <w:kinsoku/>
        <w:wordWrap/>
        <w:overflowPunct/>
        <w:topLinePunct w:val="0"/>
        <w:bidi w:val="0"/>
        <w:adjustRightInd w:val="0"/>
        <w:snapToGrid w:val="0"/>
        <w:spacing w:line="440" w:lineRule="exact"/>
        <w:outlineLvl w:val="9"/>
      </w:pPr>
      <w:r>
        <w:t>本项目实施过程中，</w:t>
      </w:r>
      <w:r>
        <w:rPr>
          <w:spacing w:val="20"/>
        </w:rPr>
        <w:t>卖方</w:t>
      </w:r>
      <w:r>
        <w:t>需对买方人员进行全面的技术培训。</w:t>
      </w:r>
    </w:p>
    <w:p>
      <w:pPr>
        <w:keepNext w:val="0"/>
        <w:keepLines w:val="0"/>
        <w:pageBreakBefore w:val="0"/>
        <w:numPr>
          <w:ilvl w:val="0"/>
          <w:numId w:val="35"/>
        </w:numPr>
        <w:kinsoku/>
        <w:wordWrap/>
        <w:overflowPunct/>
        <w:topLinePunct w:val="0"/>
        <w:bidi w:val="0"/>
        <w:adjustRightInd w:val="0"/>
        <w:snapToGrid w:val="0"/>
        <w:spacing w:line="440" w:lineRule="exact"/>
        <w:outlineLvl w:val="9"/>
      </w:pPr>
      <w:r>
        <w:rPr>
          <w:snapToGrid w:val="0"/>
          <w:szCs w:val="21"/>
        </w:rPr>
        <w:t>培训计划应至少包括设备的维护管理、故障的诊断与处理等方面的培训。</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技术资料</w:t>
      </w:r>
    </w:p>
    <w:p>
      <w:pPr>
        <w:keepNext w:val="0"/>
        <w:keepLines w:val="0"/>
        <w:pageBreakBefore w:val="0"/>
        <w:widowControl w:val="0"/>
        <w:numPr>
          <w:ilvl w:val="0"/>
          <w:numId w:val="36"/>
        </w:numPr>
        <w:tabs>
          <w:tab w:val="left" w:pos="0"/>
          <w:tab w:val="clear" w:pos="590"/>
        </w:tabs>
        <w:kinsoku/>
        <w:wordWrap/>
        <w:overflowPunct/>
        <w:topLinePunct w:val="0"/>
        <w:autoSpaceDE w:val="0"/>
        <w:autoSpaceDN w:val="0"/>
        <w:bidi w:val="0"/>
        <w:adjustRightInd w:val="0"/>
        <w:spacing w:line="440" w:lineRule="exact"/>
        <w:ind w:left="434" w:hanging="434"/>
        <w:jc w:val="both"/>
        <w:outlineLvl w:val="9"/>
      </w:pPr>
      <w:r>
        <w:t>卖方应于验收后向买方提供所有设备的技术资料、证明材料、检验证书。</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知识产权</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卖方应保证，买方在中华人民共和国使用该设备或货物的任何一部分时，免受第三方提出的侵犯其专利权、商标权或其他知识产权的起诉。如发生此类纠纷，由卖方承担一切责任。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卖方为执行本合同而提供的技术资料、软件的使用权归买方所有。</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产权与风险转移</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设备的产权，在设备验收合格并移交交付后由卖方转移至买方。</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设备损坏、灭失风险在验收合格，买卖双方签署验收合格证书并移交交付使用时由卖方转移至买方。</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如设备不符合合同约定，买方可以拒收，在拒收情况下，或者解除合同的，设备毁损、灭失的风险由卖方承担。</w:t>
      </w:r>
    </w:p>
    <w:p>
      <w:pPr>
        <w:keepNext w:val="0"/>
        <w:keepLines w:val="0"/>
        <w:pageBreakBefore w:val="0"/>
        <w:widowControl w:val="0"/>
        <w:numPr>
          <w:ilvl w:val="0"/>
          <w:numId w:val="37"/>
        </w:numPr>
        <w:tabs>
          <w:tab w:val="left" w:pos="424"/>
        </w:tabs>
        <w:kinsoku/>
        <w:wordWrap/>
        <w:overflowPunct/>
        <w:topLinePunct w:val="0"/>
        <w:bidi w:val="0"/>
        <w:spacing w:line="440" w:lineRule="exact"/>
        <w:ind w:left="-420" w:leftChars="0" w:firstLine="420" w:firstLineChars="200"/>
        <w:jc w:val="both"/>
        <w:outlineLvl w:val="9"/>
      </w:pPr>
      <w:r>
        <w:rPr>
          <w:rFonts w:hint="eastAsia"/>
          <w:lang w:val="en-US" w:eastAsia="zh-CN"/>
        </w:rPr>
        <w:t xml:space="preserve">  </w:t>
      </w:r>
      <w:r>
        <w:t>产权和风险的转移，不影响因卖方履行义务不符合约定，买方要求其承担违约责任的权利。</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索赔</w:t>
      </w:r>
    </w:p>
    <w:p>
      <w:pPr>
        <w:keepNext w:val="0"/>
        <w:keepLines w:val="0"/>
        <w:pageBreakBefore w:val="0"/>
        <w:widowControl w:val="0"/>
        <w:numPr>
          <w:ilvl w:val="1"/>
          <w:numId w:val="29"/>
        </w:numPr>
        <w:tabs>
          <w:tab w:val="left" w:pos="424"/>
        </w:tabs>
        <w:kinsoku/>
        <w:wordWrap/>
        <w:overflowPunct/>
        <w:topLinePunct w:val="0"/>
        <w:bidi w:val="0"/>
        <w:spacing w:line="440" w:lineRule="exact"/>
        <w:ind w:hanging="794"/>
        <w:outlineLvl w:val="9"/>
      </w:pPr>
      <w:r>
        <w:t>验收不合格，买方有权根据有关政府部门的检验结果向卖方提出索赔。</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在合同执行期间，如果卖方对买方提出的索赔和差异负有责任，卖方应按照买方同意的下列一种或多种方式解决索赔事宜：</w:t>
      </w:r>
    </w:p>
    <w:p>
      <w:pPr>
        <w:keepNext w:val="0"/>
        <w:keepLines w:val="0"/>
        <w:pageBreakBefore w:val="0"/>
        <w:widowControl w:val="0"/>
        <w:numPr>
          <w:ilvl w:val="2"/>
          <w:numId w:val="29"/>
        </w:numPr>
        <w:tabs>
          <w:tab w:val="left" w:pos="530"/>
          <w:tab w:val="clear" w:pos="1200"/>
        </w:tabs>
        <w:kinsoku/>
        <w:wordWrap/>
        <w:overflowPunct/>
        <w:topLinePunct w:val="0"/>
        <w:bidi w:val="0"/>
        <w:spacing w:line="440" w:lineRule="exact"/>
        <w:ind w:left="530" w:hanging="530"/>
        <w:jc w:val="both"/>
        <w:outlineLvl w:val="9"/>
      </w:pPr>
      <w:r>
        <w:t>卖方同意退货，并按合同规定的同种货币将货款退还给买方，并承担由此发生的一切损失和费用。</w:t>
      </w:r>
    </w:p>
    <w:p>
      <w:pPr>
        <w:keepNext w:val="0"/>
        <w:keepLines w:val="0"/>
        <w:pageBreakBefore w:val="0"/>
        <w:widowControl w:val="0"/>
        <w:numPr>
          <w:ilvl w:val="2"/>
          <w:numId w:val="29"/>
        </w:numPr>
        <w:tabs>
          <w:tab w:val="left" w:pos="530"/>
          <w:tab w:val="clear" w:pos="1200"/>
        </w:tabs>
        <w:kinsoku/>
        <w:wordWrap/>
        <w:overflowPunct/>
        <w:topLinePunct w:val="0"/>
        <w:bidi w:val="0"/>
        <w:spacing w:line="440" w:lineRule="exact"/>
        <w:ind w:left="530" w:hanging="530"/>
        <w:jc w:val="both"/>
        <w:outlineLvl w:val="9"/>
      </w:pPr>
      <w:r>
        <w:t>根据设备低劣程度、损坏程度以及买方所遭受损失的数额买卖双方商定降低设备的价格。</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outlineLvl w:val="9"/>
      </w:pPr>
      <w:r>
        <w:t>用符合规格、质量和性能要求的新零件、部件或设备来更换有缺陷的部分或修补缺陷的部分，卖方应承担一切费用和风险并负有买方所发生的一切直接费用。同时，相应延长质量保证期。</w:t>
      </w:r>
    </w:p>
    <w:p>
      <w:pPr>
        <w:keepNext w:val="0"/>
        <w:keepLines w:val="0"/>
        <w:pageBreakBefore w:val="0"/>
        <w:widowControl w:val="0"/>
        <w:numPr>
          <w:ilvl w:val="0"/>
          <w:numId w:val="29"/>
        </w:numPr>
        <w:tabs>
          <w:tab w:val="left" w:pos="840"/>
        </w:tabs>
        <w:kinsoku/>
        <w:wordWrap/>
        <w:overflowPunct/>
        <w:topLinePunct w:val="0"/>
        <w:bidi w:val="0"/>
        <w:spacing w:line="440" w:lineRule="exact"/>
        <w:jc w:val="both"/>
        <w:outlineLvl w:val="9"/>
        <w:rPr>
          <w:b/>
          <w:sz w:val="24"/>
        </w:rPr>
      </w:pPr>
      <w:r>
        <w:rPr>
          <w:b/>
          <w:sz w:val="24"/>
        </w:rPr>
        <w:t>违约责任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卖方交付的物品不符合合同规定的，买方有权拒收，卖方向买方支付货款总金额5%的违约金；</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买方无正当理由拒收物品，拒付货款的，买方向卖方偿付物品总金额5%的违约金；</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卖方逾期完工，则每日按合同总额3‰ 向对方偿付违约金，逾期交付超过15天，买方有权终止合同，由此造成的买方经济损失由卖方承担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rPr>
          <w:kern w:val="2"/>
          <w:szCs w:val="21"/>
        </w:rPr>
        <w:t>买房逾期付款，则每日按本合同总价的</w:t>
      </w:r>
      <w:r>
        <w:rPr>
          <w:szCs w:val="21"/>
        </w:rPr>
        <w:t>3‰向</w:t>
      </w:r>
      <w:r>
        <w:rPr>
          <w:kern w:val="2"/>
          <w:szCs w:val="21"/>
        </w:rPr>
        <w:t>卖方偿付违约金。</w:t>
      </w:r>
    </w:p>
    <w:p>
      <w:pPr>
        <w:keepNext w:val="0"/>
        <w:keepLines w:val="0"/>
        <w:pageBreakBefore w:val="0"/>
        <w:widowControl w:val="0"/>
        <w:numPr>
          <w:ilvl w:val="0"/>
          <w:numId w:val="29"/>
        </w:numPr>
        <w:tabs>
          <w:tab w:val="left" w:pos="826"/>
          <w:tab w:val="clear" w:pos="720"/>
        </w:tabs>
        <w:kinsoku/>
        <w:wordWrap/>
        <w:overflowPunct/>
        <w:topLinePunct w:val="0"/>
        <w:bidi w:val="0"/>
        <w:spacing w:line="440" w:lineRule="exact"/>
        <w:jc w:val="both"/>
        <w:outlineLvl w:val="9"/>
        <w:rPr>
          <w:b/>
          <w:sz w:val="24"/>
        </w:rPr>
      </w:pPr>
      <w:r>
        <w:rPr>
          <w:b/>
          <w:sz w:val="24"/>
        </w:rPr>
        <w:t>争端的解决</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凡与本合同有关而引起的一切争议，买卖双方应首先通过友好协商解决，如经协商后仍不能达成协议时，任何一方可以向买方所在地法院提出诉讼。</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本合同的诉讼管辖地为买方所在地的法院。</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在进行法院审理期间，除提交法院审理的事项外，合同其他部分仍应继续履行。</w:t>
      </w:r>
    </w:p>
    <w:p>
      <w:pPr>
        <w:keepNext w:val="0"/>
        <w:keepLines w:val="0"/>
        <w:pageBreakBefore w:val="0"/>
        <w:widowControl w:val="0"/>
        <w:numPr>
          <w:ilvl w:val="1"/>
          <w:numId w:val="29"/>
        </w:numPr>
        <w:tabs>
          <w:tab w:val="left" w:pos="530"/>
        </w:tabs>
        <w:kinsoku/>
        <w:wordWrap/>
        <w:overflowPunct/>
        <w:topLinePunct w:val="0"/>
        <w:bidi w:val="0"/>
        <w:spacing w:line="440" w:lineRule="exact"/>
        <w:ind w:left="530" w:hanging="530"/>
        <w:jc w:val="both"/>
        <w:outlineLvl w:val="9"/>
      </w:pPr>
      <w:r>
        <w:t>本合同按照中华人民共和国的法律进行解释。</w:t>
      </w:r>
    </w:p>
    <w:p>
      <w:pPr>
        <w:keepNext w:val="0"/>
        <w:keepLines w:val="0"/>
        <w:pageBreakBefore w:val="0"/>
        <w:widowControl w:val="0"/>
        <w:numPr>
          <w:ilvl w:val="0"/>
          <w:numId w:val="29"/>
        </w:numPr>
        <w:tabs>
          <w:tab w:val="left" w:pos="840"/>
          <w:tab w:val="clear" w:pos="720"/>
        </w:tabs>
        <w:kinsoku/>
        <w:wordWrap/>
        <w:overflowPunct/>
        <w:topLinePunct w:val="0"/>
        <w:bidi w:val="0"/>
        <w:spacing w:line="440" w:lineRule="exact"/>
        <w:jc w:val="both"/>
        <w:outlineLvl w:val="9"/>
        <w:rPr>
          <w:b/>
          <w:sz w:val="24"/>
        </w:rPr>
      </w:pPr>
      <w:r>
        <w:rPr>
          <w:b/>
          <w:sz w:val="24"/>
        </w:rPr>
        <w:t>不可抗力</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不可抗力事件指买卖双方在缔结合同时所不能预见的并且它的发生及其后果是无法避免和克服的事件，如战争、严重水灾、洪水、台风、地震等。</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rPr>
      </w:pPr>
      <w:r>
        <w:t>由于一般公认的不可抗拒的原因造成不可意料的事故而不能按合同规定交货验收时，卖方应立即以书面形式通告买方，证明事故的存在。</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在不可抗力事件发生后,双方应努力寻求采取合理的方案履行不受不可抗力影响的其他事项。如不可抗拒因素继续存在并持续影响</w:t>
      </w:r>
      <w:r>
        <w:rPr>
          <w:szCs w:val="21"/>
        </w:rPr>
        <w:t>达_1天以上</w:t>
      </w:r>
      <w:r>
        <w:t>，买卖双方应通过友好协商方式在合理的时间内达成进一步履行合同或解除合同。这时，买卖双方均不互提出索赔，买方不承担终止合同的责任，但不影响双方对非不可抗力造成的违约追究责任。</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如卖方逾期交货之后遭受不可抗力，不能享受本条规定的责任免除。</w:t>
      </w:r>
    </w:p>
    <w:p>
      <w:pPr>
        <w:keepNext w:val="0"/>
        <w:keepLines w:val="0"/>
        <w:pageBreakBefore w:val="0"/>
        <w:widowControl w:val="0"/>
        <w:numPr>
          <w:ilvl w:val="0"/>
          <w:numId w:val="29"/>
        </w:numPr>
        <w:tabs>
          <w:tab w:val="left" w:pos="840"/>
          <w:tab w:val="clear" w:pos="720"/>
        </w:tabs>
        <w:kinsoku/>
        <w:wordWrap/>
        <w:overflowPunct/>
        <w:topLinePunct w:val="0"/>
        <w:bidi w:val="0"/>
        <w:spacing w:line="440" w:lineRule="exact"/>
        <w:jc w:val="both"/>
        <w:outlineLvl w:val="9"/>
        <w:rPr>
          <w:b/>
          <w:sz w:val="24"/>
        </w:rPr>
      </w:pPr>
      <w:r>
        <w:rPr>
          <w:b/>
          <w:sz w:val="24"/>
        </w:rPr>
        <w:t>税和关税</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中国政府根据现行税法对买方征收的与本合同有关的一切税费均应由买方负担。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中国政府根据现行的税法规定对卖方或其雇员征收的与本合同有关的一切税费（包括但不限于产品的进口关税、所有产品的国内增值税）均应由卖方负担。</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pPr>
      <w:r>
        <w:t>在中国境外发生的与本合同执行有关的一切税费均应由卖方负担。</w:t>
      </w:r>
    </w:p>
    <w:p>
      <w:pPr>
        <w:keepNext w:val="0"/>
        <w:keepLines w:val="0"/>
        <w:pageBreakBefore w:val="0"/>
        <w:widowControl w:val="0"/>
        <w:numPr>
          <w:ilvl w:val="0"/>
          <w:numId w:val="29"/>
        </w:numPr>
        <w:tabs>
          <w:tab w:val="left" w:pos="840"/>
          <w:tab w:val="left" w:pos="1060"/>
          <w:tab w:val="clear" w:pos="720"/>
        </w:tabs>
        <w:kinsoku/>
        <w:wordWrap/>
        <w:overflowPunct/>
        <w:topLinePunct w:val="0"/>
        <w:bidi w:val="0"/>
        <w:spacing w:line="440" w:lineRule="exact"/>
        <w:jc w:val="both"/>
        <w:outlineLvl w:val="9"/>
        <w:rPr>
          <w:b/>
          <w:sz w:val="24"/>
        </w:rPr>
      </w:pPr>
      <w:r>
        <w:rPr>
          <w:b/>
          <w:sz w:val="24"/>
        </w:rPr>
        <w:t>合同生效</w:t>
      </w:r>
    </w:p>
    <w:p>
      <w:pPr>
        <w:keepNext w:val="0"/>
        <w:keepLines w:val="0"/>
        <w:pageBreakBefore w:val="0"/>
        <w:tabs>
          <w:tab w:val="left" w:pos="800"/>
        </w:tabs>
        <w:kinsoku/>
        <w:wordWrap/>
        <w:overflowPunct/>
        <w:topLinePunct w:val="0"/>
        <w:bidi w:val="0"/>
        <w:spacing w:line="440" w:lineRule="exact"/>
        <w:ind w:firstLine="420"/>
        <w:outlineLvl w:val="9"/>
      </w:pPr>
      <w:r>
        <w:t>本合同经双方授权代表签字盖章后生效。</w:t>
      </w:r>
    </w:p>
    <w:p>
      <w:pPr>
        <w:keepNext w:val="0"/>
        <w:keepLines w:val="0"/>
        <w:pageBreakBefore w:val="0"/>
        <w:widowControl w:val="0"/>
        <w:numPr>
          <w:ilvl w:val="0"/>
          <w:numId w:val="29"/>
        </w:numPr>
        <w:tabs>
          <w:tab w:val="left" w:pos="1060"/>
          <w:tab w:val="clear" w:pos="720"/>
        </w:tabs>
        <w:kinsoku/>
        <w:wordWrap/>
        <w:overflowPunct/>
        <w:topLinePunct w:val="0"/>
        <w:bidi w:val="0"/>
        <w:spacing w:line="440" w:lineRule="exact"/>
        <w:jc w:val="both"/>
        <w:outlineLvl w:val="9"/>
        <w:rPr>
          <w:b/>
          <w:sz w:val="24"/>
        </w:rPr>
      </w:pPr>
      <w:r>
        <w:rPr>
          <w:b/>
          <w:sz w:val="24"/>
        </w:rPr>
        <w:t>其它</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szCs w:val="21"/>
        </w:rPr>
      </w:pPr>
      <w:r>
        <w:rPr>
          <w:szCs w:val="21"/>
        </w:rPr>
        <w:t>本项目的招标文件、投标文件及相关的澄清文件为签定本合同的根本依据，本合同的任何条款与上述文件相抵触的，以上述文件为准。</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szCs w:val="21"/>
        </w:rPr>
      </w:pPr>
      <w:r>
        <w:rPr>
          <w:szCs w:val="21"/>
        </w:rPr>
        <w:t>本合同之所有附件均为合同的有效组成部分，与本合同具有同样法律效力。合同与附件之间内容应认为是互为补充和解释，但如有模棱两可或相互矛盾之处，以时间在后的文件为准。</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在执行本合同的过程中，卖方需遵守所有经买卖双方签署确认的文件（包括会议纪要、补充协议、往来信函）即成为本合同的有效组成部分，其生效日期为双方签字盖章或确认之日期。</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除买方事先书面同意外，卖方不得部分或全部转让其应履行的合同项下的义务。</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b/>
          <w:bCs/>
          <w:szCs w:val="21"/>
          <w:highlight w:val="none"/>
        </w:rPr>
      </w:pPr>
      <w:r>
        <w:rPr>
          <w:b/>
          <w:bCs/>
          <w:szCs w:val="21"/>
          <w:highlight w:val="none"/>
        </w:rPr>
        <w:t>本合同正本一式</w:t>
      </w:r>
      <w:r>
        <w:rPr>
          <w:rFonts w:hint="eastAsia"/>
          <w:b/>
          <w:bCs/>
          <w:szCs w:val="21"/>
          <w:highlight w:val="none"/>
          <w:lang w:eastAsia="zh-CN"/>
        </w:rPr>
        <w:t>伍</w:t>
      </w:r>
      <w:r>
        <w:rPr>
          <w:b/>
          <w:bCs/>
          <w:szCs w:val="21"/>
          <w:highlight w:val="none"/>
        </w:rPr>
        <w:t>份，</w:t>
      </w:r>
      <w:r>
        <w:rPr>
          <w:rFonts w:hint="eastAsia"/>
          <w:b/>
          <w:bCs/>
          <w:szCs w:val="21"/>
          <w:highlight w:val="none"/>
        </w:rPr>
        <w:t>买</w:t>
      </w:r>
      <w:r>
        <w:rPr>
          <w:b/>
          <w:bCs/>
          <w:szCs w:val="21"/>
          <w:highlight w:val="none"/>
        </w:rPr>
        <w:t>方</w:t>
      </w:r>
      <w:r>
        <w:rPr>
          <w:rFonts w:hint="eastAsia"/>
          <w:b/>
          <w:bCs/>
          <w:szCs w:val="21"/>
          <w:highlight w:val="none"/>
          <w:lang w:eastAsia="zh-CN"/>
        </w:rPr>
        <w:t>两</w:t>
      </w:r>
      <w:r>
        <w:rPr>
          <w:b/>
          <w:bCs/>
          <w:szCs w:val="21"/>
          <w:highlight w:val="none"/>
        </w:rPr>
        <w:t>份，卖方</w:t>
      </w:r>
      <w:r>
        <w:rPr>
          <w:rFonts w:hint="eastAsia"/>
          <w:b/>
          <w:bCs/>
          <w:szCs w:val="21"/>
          <w:highlight w:val="none"/>
          <w:lang w:eastAsia="zh-CN"/>
        </w:rPr>
        <w:t>两份</w:t>
      </w:r>
      <w:r>
        <w:rPr>
          <w:b/>
          <w:bCs/>
          <w:szCs w:val="21"/>
          <w:highlight w:val="none"/>
        </w:rPr>
        <w:t>、招标代理机构一份。</w:t>
      </w:r>
    </w:p>
    <w:p>
      <w:pPr>
        <w:keepNext w:val="0"/>
        <w:keepLines w:val="0"/>
        <w:pageBreakBefore w:val="0"/>
        <w:widowControl w:val="0"/>
        <w:numPr>
          <w:ilvl w:val="1"/>
          <w:numId w:val="29"/>
        </w:numPr>
        <w:tabs>
          <w:tab w:val="left" w:pos="424"/>
        </w:tabs>
        <w:kinsoku/>
        <w:wordWrap/>
        <w:overflowPunct/>
        <w:topLinePunct w:val="0"/>
        <w:bidi w:val="0"/>
        <w:spacing w:line="440" w:lineRule="exact"/>
        <w:ind w:left="424" w:hanging="424"/>
        <w:jc w:val="both"/>
        <w:outlineLvl w:val="9"/>
        <w:rPr>
          <w:szCs w:val="21"/>
        </w:rPr>
      </w:pPr>
      <w:r>
        <w:rPr>
          <w:szCs w:val="21"/>
        </w:rPr>
        <w:t>本合同合计________页A4纸张，缺页之合同为无效合同。</w:t>
      </w: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r>
        <w:rPr>
          <w:szCs w:val="21"/>
        </w:rPr>
        <w:t>买方（盖章）：                                  卖方（盖章）：</w:t>
      </w:r>
    </w:p>
    <w:p>
      <w:pPr>
        <w:keepNext w:val="0"/>
        <w:keepLines w:val="0"/>
        <w:pageBreakBefore w:val="0"/>
        <w:kinsoku/>
        <w:wordWrap/>
        <w:overflowPunct/>
        <w:topLinePunct w:val="0"/>
        <w:bidi w:val="0"/>
        <w:spacing w:line="440" w:lineRule="exact"/>
        <w:outlineLvl w:val="9"/>
        <w:rPr>
          <w:szCs w:val="21"/>
        </w:rPr>
      </w:pPr>
      <w:r>
        <w:rPr>
          <w:szCs w:val="21"/>
        </w:rPr>
        <w:t xml:space="preserve">买方法定代表（签字）：                 </w:t>
      </w:r>
      <w:r>
        <w:rPr>
          <w:rFonts w:hint="eastAsia"/>
          <w:szCs w:val="21"/>
          <w:lang w:val="en-US" w:eastAsia="zh-CN"/>
        </w:rPr>
        <w:t xml:space="preserve"> </w:t>
      </w:r>
      <w:r>
        <w:rPr>
          <w:szCs w:val="21"/>
        </w:rPr>
        <w:t>卖方法定代表（签字）：</w:t>
      </w:r>
    </w:p>
    <w:p>
      <w:pPr>
        <w:keepNext w:val="0"/>
        <w:keepLines w:val="0"/>
        <w:pageBreakBefore w:val="0"/>
        <w:kinsoku/>
        <w:wordWrap/>
        <w:overflowPunct/>
        <w:topLinePunct w:val="0"/>
        <w:bidi w:val="0"/>
        <w:spacing w:line="440" w:lineRule="exact"/>
        <w:outlineLvl w:val="9"/>
        <w:rPr>
          <w:szCs w:val="21"/>
        </w:rPr>
      </w:pPr>
      <w:r>
        <w:rPr>
          <w:szCs w:val="21"/>
        </w:rPr>
        <w:t xml:space="preserve">地    址：                                      </w:t>
      </w:r>
      <w:r>
        <w:rPr>
          <w:rFonts w:hint="eastAsia"/>
          <w:szCs w:val="21"/>
          <w:lang w:val="en-US" w:eastAsia="zh-CN"/>
        </w:rPr>
        <w:t xml:space="preserve">        </w:t>
      </w:r>
      <w:r>
        <w:rPr>
          <w:szCs w:val="21"/>
        </w:rPr>
        <w:t>地    址：</w:t>
      </w:r>
    </w:p>
    <w:p>
      <w:pPr>
        <w:keepNext w:val="0"/>
        <w:keepLines w:val="0"/>
        <w:pageBreakBefore w:val="0"/>
        <w:kinsoku/>
        <w:wordWrap/>
        <w:overflowPunct/>
        <w:topLinePunct w:val="0"/>
        <w:bidi w:val="0"/>
        <w:spacing w:line="440" w:lineRule="exact"/>
        <w:outlineLvl w:val="9"/>
        <w:rPr>
          <w:szCs w:val="21"/>
        </w:rPr>
      </w:pPr>
      <w:r>
        <w:rPr>
          <w:szCs w:val="21"/>
        </w:rPr>
        <w:t xml:space="preserve">邮政编码：                                      </w:t>
      </w:r>
      <w:r>
        <w:rPr>
          <w:rFonts w:hint="eastAsia"/>
          <w:szCs w:val="21"/>
          <w:lang w:val="en-US" w:eastAsia="zh-CN"/>
        </w:rPr>
        <w:t xml:space="preserve">    </w:t>
      </w:r>
      <w:r>
        <w:rPr>
          <w:szCs w:val="21"/>
        </w:rPr>
        <w:t>邮政编码：</w:t>
      </w:r>
    </w:p>
    <w:p>
      <w:pPr>
        <w:keepNext w:val="0"/>
        <w:keepLines w:val="0"/>
        <w:pageBreakBefore w:val="0"/>
        <w:kinsoku/>
        <w:wordWrap/>
        <w:overflowPunct/>
        <w:topLinePunct w:val="0"/>
        <w:bidi w:val="0"/>
        <w:spacing w:line="440" w:lineRule="exact"/>
        <w:outlineLvl w:val="9"/>
        <w:rPr>
          <w:szCs w:val="21"/>
        </w:rPr>
      </w:pPr>
      <w:r>
        <w:rPr>
          <w:szCs w:val="21"/>
        </w:rPr>
        <w:t xml:space="preserve">电    话：                                      </w:t>
      </w:r>
      <w:r>
        <w:rPr>
          <w:rFonts w:hint="eastAsia"/>
          <w:szCs w:val="21"/>
          <w:lang w:val="en-US" w:eastAsia="zh-CN"/>
        </w:rPr>
        <w:t xml:space="preserve">        </w:t>
      </w:r>
      <w:r>
        <w:rPr>
          <w:szCs w:val="21"/>
        </w:rPr>
        <w:t>电    话：</w:t>
      </w:r>
    </w:p>
    <w:p>
      <w:pPr>
        <w:keepNext w:val="0"/>
        <w:keepLines w:val="0"/>
        <w:pageBreakBefore w:val="0"/>
        <w:kinsoku/>
        <w:wordWrap/>
        <w:overflowPunct/>
        <w:topLinePunct w:val="0"/>
        <w:bidi w:val="0"/>
        <w:spacing w:line="440" w:lineRule="exact"/>
        <w:outlineLvl w:val="9"/>
        <w:rPr>
          <w:szCs w:val="21"/>
        </w:rPr>
      </w:pPr>
      <w:r>
        <w:rPr>
          <w:szCs w:val="21"/>
        </w:rPr>
        <w:t xml:space="preserve">传    真：                                      </w:t>
      </w:r>
      <w:r>
        <w:rPr>
          <w:rFonts w:hint="eastAsia"/>
          <w:szCs w:val="21"/>
          <w:lang w:val="en-US" w:eastAsia="zh-CN"/>
        </w:rPr>
        <w:t xml:space="preserve">        </w:t>
      </w:r>
      <w:r>
        <w:rPr>
          <w:szCs w:val="21"/>
        </w:rPr>
        <w:t>传    真：</w:t>
      </w:r>
    </w:p>
    <w:p>
      <w:pPr>
        <w:keepNext w:val="0"/>
        <w:keepLines w:val="0"/>
        <w:pageBreakBefore w:val="0"/>
        <w:kinsoku/>
        <w:wordWrap/>
        <w:overflowPunct/>
        <w:topLinePunct w:val="0"/>
        <w:bidi w:val="0"/>
        <w:spacing w:line="440" w:lineRule="exact"/>
        <w:outlineLvl w:val="9"/>
        <w:rPr>
          <w:szCs w:val="21"/>
        </w:rPr>
      </w:pPr>
      <w:r>
        <w:rPr>
          <w:szCs w:val="21"/>
        </w:rPr>
        <w:t xml:space="preserve">开户银行：                                      </w:t>
      </w:r>
      <w:r>
        <w:rPr>
          <w:rFonts w:hint="eastAsia"/>
          <w:szCs w:val="21"/>
          <w:lang w:val="en-US" w:eastAsia="zh-CN"/>
        </w:rPr>
        <w:t xml:space="preserve">    </w:t>
      </w:r>
      <w:r>
        <w:rPr>
          <w:szCs w:val="21"/>
        </w:rPr>
        <w:t>开户银行：</w:t>
      </w:r>
    </w:p>
    <w:p>
      <w:pPr>
        <w:keepNext w:val="0"/>
        <w:keepLines w:val="0"/>
        <w:pageBreakBefore w:val="0"/>
        <w:kinsoku/>
        <w:wordWrap/>
        <w:overflowPunct/>
        <w:topLinePunct w:val="0"/>
        <w:bidi w:val="0"/>
        <w:spacing w:line="440" w:lineRule="exact"/>
        <w:outlineLvl w:val="9"/>
        <w:rPr>
          <w:szCs w:val="21"/>
        </w:rPr>
      </w:pPr>
      <w:r>
        <w:rPr>
          <w:szCs w:val="21"/>
        </w:rPr>
        <w:t xml:space="preserve">开户账号：                                      </w:t>
      </w:r>
      <w:r>
        <w:rPr>
          <w:rFonts w:hint="eastAsia"/>
          <w:szCs w:val="21"/>
          <w:lang w:val="en-US" w:eastAsia="zh-CN"/>
        </w:rPr>
        <w:t xml:space="preserve">    </w:t>
      </w:r>
      <w:r>
        <w:rPr>
          <w:szCs w:val="21"/>
        </w:rPr>
        <w:t>开户账号：</w:t>
      </w: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outlineLvl w:val="9"/>
        <w:rPr>
          <w:szCs w:val="21"/>
        </w:rPr>
      </w:pPr>
    </w:p>
    <w:p>
      <w:pPr>
        <w:keepNext w:val="0"/>
        <w:keepLines w:val="0"/>
        <w:pageBreakBefore w:val="0"/>
        <w:kinsoku/>
        <w:wordWrap/>
        <w:overflowPunct/>
        <w:topLinePunct w:val="0"/>
        <w:bidi w:val="0"/>
        <w:spacing w:line="440" w:lineRule="exact"/>
        <w:ind w:left="840" w:hanging="840"/>
        <w:outlineLvl w:val="9"/>
        <w:rPr>
          <w:b/>
          <w:spacing w:val="40"/>
        </w:rPr>
      </w:pPr>
      <w:r>
        <w:rPr>
          <w:b/>
          <w:spacing w:val="40"/>
          <w:sz w:val="36"/>
        </w:rPr>
        <w:t>合同附件</w:t>
      </w:r>
      <w:r>
        <w:rPr>
          <w:b/>
          <w:spacing w:val="40"/>
        </w:rPr>
        <w:t>（合同编号</w:t>
      </w:r>
      <w:r>
        <w:rPr>
          <w:b/>
          <w:spacing w:val="40"/>
        </w:rPr>
        <w:tab/>
      </w:r>
      <w:r>
        <w:rPr>
          <w:b/>
          <w:spacing w:val="40"/>
        </w:rPr>
        <w:t xml:space="preserve">  ）</w:t>
      </w:r>
    </w:p>
    <w:p>
      <w:pPr>
        <w:keepNext w:val="0"/>
        <w:keepLines w:val="0"/>
        <w:pageBreakBefore w:val="0"/>
        <w:tabs>
          <w:tab w:val="left" w:pos="1680"/>
        </w:tabs>
        <w:kinsoku/>
        <w:wordWrap/>
        <w:overflowPunct/>
        <w:topLinePunct w:val="0"/>
        <w:bidi w:val="0"/>
        <w:spacing w:line="440" w:lineRule="exact"/>
        <w:outlineLvl w:val="9"/>
      </w:pPr>
      <w:r>
        <w:t>附件1  技术规格及供货范围………………………………………………………………………</w:t>
      </w:r>
    </w:p>
    <w:p>
      <w:pPr>
        <w:keepNext w:val="0"/>
        <w:keepLines w:val="0"/>
        <w:pageBreakBefore w:val="0"/>
        <w:kinsoku/>
        <w:wordWrap/>
        <w:overflowPunct/>
        <w:topLinePunct w:val="0"/>
        <w:bidi w:val="0"/>
        <w:spacing w:line="440" w:lineRule="exact"/>
        <w:ind w:left="945" w:hanging="945"/>
        <w:outlineLvl w:val="9"/>
      </w:pPr>
      <w:r>
        <w:t>附件2  价格明细清单 ………………………………………………………………………………</w:t>
      </w:r>
    </w:p>
    <w:p>
      <w:pPr>
        <w:keepNext w:val="0"/>
        <w:keepLines w:val="0"/>
        <w:pageBreakBefore w:val="0"/>
        <w:kinsoku/>
        <w:wordWrap/>
        <w:overflowPunct/>
        <w:topLinePunct w:val="0"/>
        <w:bidi w:val="0"/>
        <w:spacing w:line="440" w:lineRule="exact"/>
        <w:ind w:left="945" w:hanging="945"/>
        <w:outlineLvl w:val="9"/>
      </w:pPr>
      <w:r>
        <w:t>附件3  货物交货及项目进度要求 …………………………………………………………………</w:t>
      </w:r>
    </w:p>
    <w:p>
      <w:pPr>
        <w:keepNext w:val="0"/>
        <w:keepLines w:val="0"/>
        <w:pageBreakBefore w:val="0"/>
        <w:kinsoku/>
        <w:wordWrap/>
        <w:overflowPunct/>
        <w:topLinePunct w:val="0"/>
        <w:bidi w:val="0"/>
        <w:spacing w:line="440" w:lineRule="exact"/>
        <w:ind w:left="945" w:hanging="945"/>
        <w:outlineLvl w:val="9"/>
      </w:pPr>
      <w:r>
        <w:t>附件4  安装、调试、培训、售后服务计划………………………………………………………</w:t>
      </w:r>
    </w:p>
    <w:p>
      <w:pPr>
        <w:keepNext w:val="0"/>
        <w:keepLines w:val="0"/>
        <w:pageBreakBefore w:val="0"/>
        <w:kinsoku/>
        <w:wordWrap/>
        <w:overflowPunct/>
        <w:topLinePunct w:val="0"/>
        <w:bidi w:val="0"/>
        <w:spacing w:line="440" w:lineRule="exact"/>
        <w:ind w:left="945" w:hanging="945"/>
        <w:outlineLvl w:val="9"/>
      </w:pPr>
      <w:r>
        <w:t>附件5  验收标准……………………………………………………………………………………</w:t>
      </w:r>
    </w:p>
    <w:p>
      <w:pPr>
        <w:keepNext w:val="0"/>
        <w:keepLines w:val="0"/>
        <w:pageBreakBefore w:val="0"/>
        <w:kinsoku/>
        <w:wordWrap/>
        <w:overflowPunct/>
        <w:topLinePunct w:val="0"/>
        <w:bidi w:val="0"/>
        <w:spacing w:line="440" w:lineRule="exact"/>
        <w:ind w:left="945" w:hanging="945"/>
        <w:outlineLvl w:val="9"/>
      </w:pPr>
      <w:r>
        <w:t>附件6  技术文件……………………………………………………………………………………</w:t>
      </w:r>
    </w:p>
    <w:p>
      <w:pPr>
        <w:keepNext w:val="0"/>
        <w:keepLines w:val="0"/>
        <w:pageBreakBefore w:val="0"/>
        <w:kinsoku/>
        <w:wordWrap/>
        <w:overflowPunct/>
        <w:topLinePunct w:val="0"/>
        <w:bidi w:val="0"/>
        <w:spacing w:line="440" w:lineRule="exact"/>
        <w:ind w:left="945" w:hanging="945"/>
        <w:outlineLvl w:val="9"/>
      </w:pPr>
      <w:r>
        <w:t>附件7  招标文件……………………………………………………………………………………</w:t>
      </w:r>
    </w:p>
    <w:p>
      <w:pPr>
        <w:keepNext w:val="0"/>
        <w:keepLines w:val="0"/>
        <w:pageBreakBefore w:val="0"/>
        <w:kinsoku/>
        <w:wordWrap/>
        <w:overflowPunct/>
        <w:topLinePunct w:val="0"/>
        <w:bidi w:val="0"/>
        <w:spacing w:line="440" w:lineRule="exact"/>
        <w:ind w:left="945" w:hanging="945"/>
        <w:outlineLvl w:val="9"/>
      </w:pPr>
      <w:r>
        <w:t>附件8  投标文件……………………………………………………………………………………</w:t>
      </w:r>
    </w:p>
    <w:p>
      <w:pPr>
        <w:keepNext w:val="0"/>
        <w:keepLines w:val="0"/>
        <w:pageBreakBefore w:val="0"/>
        <w:kinsoku/>
        <w:wordWrap/>
        <w:overflowPunct/>
        <w:topLinePunct w:val="0"/>
        <w:bidi w:val="0"/>
        <w:spacing w:line="440" w:lineRule="exact"/>
        <w:ind w:left="945" w:hanging="945"/>
        <w:outlineLvl w:val="9"/>
      </w:pPr>
      <w:r>
        <w:t>附件9  中标通知书…………………………………………………………………………………</w:t>
      </w:r>
    </w:p>
    <w:p>
      <w:pPr>
        <w:keepNext w:val="0"/>
        <w:keepLines w:val="0"/>
        <w:pageBreakBefore w:val="0"/>
        <w:kinsoku/>
        <w:wordWrap/>
        <w:overflowPunct/>
        <w:topLinePunct w:val="0"/>
        <w:bidi w:val="0"/>
        <w:spacing w:line="440" w:lineRule="exact"/>
        <w:ind w:left="945" w:hanging="945"/>
        <w:outlineLvl w:val="9"/>
      </w:pPr>
      <w:r>
        <w:rPr>
          <w:b/>
        </w:rPr>
        <w:t>备注</w:t>
      </w:r>
      <w:r>
        <w:t>：1. 本合同所有附件均在签定合同时编制，其编制依据是招标文件中的要求和卖方的投标文件中的相应内容；</w:t>
      </w:r>
    </w:p>
    <w:p>
      <w:pPr>
        <w:keepNext w:val="0"/>
        <w:keepLines w:val="0"/>
        <w:pageBreakBefore w:val="0"/>
        <w:kinsoku/>
        <w:wordWrap/>
        <w:overflowPunct/>
        <w:topLinePunct w:val="0"/>
        <w:bidi w:val="0"/>
        <w:spacing w:line="440" w:lineRule="exact"/>
        <w:ind w:left="945" w:leftChars="200" w:hanging="525" w:hangingChars="250"/>
        <w:outlineLvl w:val="9"/>
      </w:pPr>
      <w:r>
        <w:t xml:space="preserve">     2. 合同附件的具体内容由双方在签定合同时确定。</w:t>
      </w:r>
    </w:p>
    <w:p>
      <w:pPr>
        <w:spacing w:line="360" w:lineRule="auto"/>
        <w:jc w:val="center"/>
        <w:rPr>
          <w:rFonts w:eastAsia="黑体"/>
          <w:b/>
          <w:sz w:val="44"/>
        </w:rPr>
      </w:pPr>
    </w:p>
    <w:p>
      <w:pPr>
        <w:rPr>
          <w:b/>
          <w:szCs w:val="21"/>
        </w:rPr>
      </w:pPr>
    </w:p>
    <w:p>
      <w:pPr>
        <w:pStyle w:val="99"/>
        <w:rPr>
          <w:rFonts w:ascii="Times New Roman"/>
          <w:szCs w:val="22"/>
        </w:rPr>
      </w:pPr>
    </w:p>
    <w:p>
      <w:pPr>
        <w:pStyle w:val="99"/>
        <w:rPr>
          <w:rFonts w:ascii="Times New Roman"/>
          <w:szCs w:val="22"/>
        </w:rPr>
      </w:pPr>
    </w:p>
    <w:p>
      <w:pPr>
        <w:pStyle w:val="99"/>
        <w:rPr>
          <w:rFonts w:ascii="Times New Roman"/>
          <w:szCs w:val="22"/>
        </w:rPr>
      </w:pPr>
    </w:p>
    <w:p>
      <w:pPr>
        <w:pStyle w:val="99"/>
        <w:rPr>
          <w:rFonts w:ascii="Times New Roman"/>
          <w:szCs w:val="22"/>
        </w:rPr>
      </w:pPr>
    </w:p>
    <w:p>
      <w:pPr>
        <w:pStyle w:val="99"/>
        <w:rPr>
          <w:rFonts w:ascii="Times New Roman"/>
          <w:szCs w:val="22"/>
        </w:rPr>
      </w:pPr>
    </w:p>
    <w:p>
      <w:pPr>
        <w:pStyle w:val="99"/>
        <w:rPr>
          <w:rFonts w:ascii="Times New Roman"/>
          <w:szCs w:val="22"/>
        </w:rPr>
      </w:pPr>
    </w:p>
    <w:p>
      <w:pPr>
        <w:pStyle w:val="99"/>
        <w:rPr>
          <w:rFonts w:ascii="Times New Roman"/>
          <w:szCs w:val="22"/>
        </w:rPr>
      </w:pPr>
      <w:r>
        <w:rPr>
          <w:rFonts w:ascii="Times New Roman"/>
          <w:szCs w:val="22"/>
        </w:rPr>
        <w:t>第</w:t>
      </w:r>
      <w:r>
        <w:rPr>
          <w:rFonts w:hint="eastAsia" w:ascii="Times New Roman"/>
          <w:szCs w:val="22"/>
          <w:lang w:eastAsia="zh-CN"/>
        </w:rPr>
        <w:t>五</w:t>
      </w:r>
      <w:r>
        <w:rPr>
          <w:rFonts w:ascii="Times New Roman"/>
          <w:szCs w:val="22"/>
        </w:rPr>
        <w:t xml:space="preserve">部分   </w:t>
      </w:r>
      <w:r>
        <w:rPr>
          <w:rFonts w:hint="eastAsia" w:ascii="Times New Roman"/>
          <w:szCs w:val="22"/>
          <w:lang w:eastAsia="zh-CN"/>
        </w:rPr>
        <w:t>投标文件</w:t>
      </w:r>
      <w:r>
        <w:rPr>
          <w:rFonts w:ascii="Times New Roman"/>
          <w:szCs w:val="22"/>
        </w:rPr>
        <w:t xml:space="preserve"> 格 式</w:t>
      </w:r>
    </w:p>
    <w:p>
      <w:pPr>
        <w:pStyle w:val="23"/>
        <w:tabs>
          <w:tab w:val="left" w:pos="1260"/>
        </w:tabs>
        <w:jc w:val="center"/>
        <w:rPr>
          <w:rFonts w:hint="eastAsia" w:hAnsi="宋体" w:cs="宋体"/>
          <w:b/>
          <w:spacing w:val="100"/>
          <w:w w:val="110"/>
          <w:kern w:val="0"/>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jc w:val="center"/>
        <w:rPr>
          <w:rFonts w:hint="eastAsia" w:hAnsi="宋体" w:cs="宋体"/>
          <w:b/>
          <w:sz w:val="48"/>
          <w:szCs w:val="48"/>
        </w:rPr>
      </w:pPr>
    </w:p>
    <w:p>
      <w:pPr>
        <w:pStyle w:val="23"/>
        <w:tabs>
          <w:tab w:val="left" w:pos="1260"/>
        </w:tabs>
        <w:jc w:val="center"/>
        <w:rPr>
          <w:rFonts w:hint="eastAsia" w:hAnsi="宋体" w:cs="宋体"/>
          <w:b/>
          <w:spacing w:val="100"/>
          <w:w w:val="110"/>
          <w:sz w:val="48"/>
          <w:szCs w:val="48"/>
        </w:rPr>
      </w:pPr>
      <w:r>
        <w:rPr>
          <w:rFonts w:hint="eastAsia" w:hAnsi="宋体" w:cs="宋体"/>
          <w:b/>
          <w:spacing w:val="100"/>
          <w:w w:val="110"/>
          <w:kern w:val="0"/>
          <w:sz w:val="48"/>
          <w:szCs w:val="48"/>
        </w:rPr>
        <w:t>投标文件（格式）</w:t>
      </w:r>
    </w:p>
    <w:p>
      <w:pPr>
        <w:pStyle w:val="23"/>
        <w:jc w:val="center"/>
        <w:rPr>
          <w:rFonts w:hint="eastAsia" w:hAnsi="宋体" w:cs="宋体"/>
          <w:b/>
          <w:sz w:val="48"/>
          <w:szCs w:val="48"/>
        </w:rPr>
      </w:pPr>
      <w:r>
        <w:rPr>
          <w:rFonts w:hint="eastAsia" w:hAnsi="宋体" w:cs="宋体"/>
          <w:b/>
          <w:sz w:val="48"/>
          <w:szCs w:val="48"/>
        </w:rPr>
        <w:t>（正本/副本）</w:t>
      </w:r>
    </w:p>
    <w:p>
      <w:pPr>
        <w:pStyle w:val="23"/>
        <w:jc w:val="center"/>
        <w:rPr>
          <w:rFonts w:hint="eastAsia" w:hAnsi="宋体" w:cs="宋体"/>
          <w:b/>
          <w:sz w:val="48"/>
          <w:szCs w:val="4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jc w:val="center"/>
        <w:rPr>
          <w:rFonts w:hint="eastAsia" w:hAnsi="宋体" w:cs="宋体"/>
          <w:b/>
          <w:sz w:val="28"/>
          <w:szCs w:val="28"/>
        </w:rPr>
      </w:pPr>
    </w:p>
    <w:p>
      <w:pPr>
        <w:pStyle w:val="23"/>
        <w:spacing w:line="360" w:lineRule="auto"/>
        <w:rPr>
          <w:rFonts w:hint="eastAsia" w:hAnsi="宋体" w:cs="宋体"/>
          <w:b/>
          <w:sz w:val="28"/>
          <w:szCs w:val="28"/>
          <w:u w:val="single"/>
        </w:rPr>
      </w:pPr>
      <w:r>
        <w:rPr>
          <w:rFonts w:hint="eastAsia" w:hAnsi="宋体" w:cs="宋体"/>
          <w:b/>
          <w:sz w:val="28"/>
          <w:szCs w:val="28"/>
        </w:rPr>
        <w:t xml:space="preserve">          采购项目编号：</w:t>
      </w:r>
      <w:r>
        <w:rPr>
          <w:rFonts w:hint="eastAsia" w:hAnsi="宋体" w:cs="宋体"/>
          <w:b/>
          <w:sz w:val="28"/>
          <w:szCs w:val="28"/>
          <w:u w:val="single"/>
          <w:lang w:eastAsia="zh-CN"/>
        </w:rPr>
        <w:t>GDJX202004GK103</w:t>
      </w:r>
      <w:r>
        <w:rPr>
          <w:rFonts w:hint="eastAsia" w:hAnsi="宋体" w:cs="宋体"/>
          <w:b/>
          <w:sz w:val="28"/>
          <w:szCs w:val="28"/>
          <w:u w:val="single"/>
        </w:rPr>
        <w:t xml:space="preserve">         </w:t>
      </w:r>
    </w:p>
    <w:p>
      <w:pPr>
        <w:pStyle w:val="23"/>
        <w:spacing w:line="360" w:lineRule="auto"/>
        <w:ind w:left="3373" w:hanging="3373" w:hangingChars="1200"/>
        <w:jc w:val="left"/>
        <w:rPr>
          <w:rFonts w:hint="eastAsia" w:hAnsi="宋体" w:cs="宋体"/>
          <w:b/>
          <w:kern w:val="28"/>
          <w:sz w:val="28"/>
          <w:szCs w:val="28"/>
        </w:rPr>
      </w:pPr>
      <w:r>
        <w:rPr>
          <w:rFonts w:hint="eastAsia" w:hAnsi="宋体" w:cs="宋体"/>
          <w:b/>
          <w:sz w:val="28"/>
          <w:szCs w:val="28"/>
        </w:rPr>
        <w:t xml:space="preserve">          采购项目名称：</w:t>
      </w:r>
      <w:r>
        <w:rPr>
          <w:rFonts w:hint="eastAsia"/>
          <w:b/>
          <w:bCs/>
          <w:kern w:val="28"/>
          <w:sz w:val="28"/>
          <w:szCs w:val="28"/>
          <w:u w:val="single"/>
          <w:lang w:eastAsia="zh-CN"/>
        </w:rPr>
        <w:t>中山市坦洲镇污水处理有限公司消毒剂采购项目</w:t>
      </w:r>
      <w:r>
        <w:rPr>
          <w:rFonts w:hint="eastAsia" w:hAnsi="宋体" w:cs="宋体"/>
          <w:b/>
          <w:kern w:val="28"/>
          <w:sz w:val="28"/>
          <w:szCs w:val="28"/>
        </w:rPr>
        <w:t xml:space="preserve">          </w:t>
      </w:r>
    </w:p>
    <w:p>
      <w:pPr>
        <w:pStyle w:val="23"/>
        <w:spacing w:line="360" w:lineRule="auto"/>
        <w:jc w:val="center"/>
        <w:rPr>
          <w:rFonts w:hint="eastAsia" w:hAnsi="宋体" w:cs="宋体"/>
          <w:b/>
          <w:sz w:val="28"/>
          <w:szCs w:val="28"/>
        </w:rPr>
      </w:pPr>
    </w:p>
    <w:p>
      <w:pPr>
        <w:pStyle w:val="23"/>
        <w:spacing w:line="360" w:lineRule="auto"/>
        <w:jc w:val="center"/>
        <w:rPr>
          <w:rFonts w:hint="eastAsia" w:hAnsi="宋体" w:cs="宋体"/>
          <w:b/>
          <w:sz w:val="28"/>
          <w:szCs w:val="28"/>
        </w:rPr>
      </w:pPr>
    </w:p>
    <w:p>
      <w:pPr>
        <w:pStyle w:val="23"/>
        <w:spacing w:line="360" w:lineRule="auto"/>
        <w:jc w:val="center"/>
        <w:rPr>
          <w:rFonts w:hint="eastAsia" w:hAnsi="宋体" w:cs="宋体"/>
          <w:b/>
          <w:sz w:val="28"/>
          <w:szCs w:val="28"/>
        </w:rPr>
      </w:pPr>
    </w:p>
    <w:p>
      <w:pPr>
        <w:pStyle w:val="23"/>
        <w:ind w:firstLine="843" w:firstLineChars="300"/>
        <w:rPr>
          <w:rFonts w:hint="eastAsia" w:hAnsi="宋体" w:cs="宋体"/>
          <w:b/>
          <w:sz w:val="28"/>
          <w:szCs w:val="28"/>
        </w:rPr>
      </w:pPr>
    </w:p>
    <w:p>
      <w:pPr>
        <w:pStyle w:val="23"/>
        <w:spacing w:line="360" w:lineRule="auto"/>
        <w:rPr>
          <w:rFonts w:hint="eastAsia" w:hAnsi="宋体" w:cs="宋体"/>
          <w:b/>
          <w:sz w:val="28"/>
          <w:szCs w:val="28"/>
          <w:u w:val="single"/>
        </w:rPr>
      </w:pPr>
      <w:r>
        <w:rPr>
          <w:rFonts w:hint="eastAsia" w:hAnsi="宋体" w:cs="宋体"/>
          <w:b/>
          <w:sz w:val="28"/>
          <w:szCs w:val="28"/>
        </w:rPr>
        <w:t xml:space="preserve">              投标人名称：</w:t>
      </w:r>
      <w:r>
        <w:rPr>
          <w:rFonts w:hint="eastAsia" w:hAnsi="宋体" w:cs="宋体"/>
          <w:b/>
          <w:sz w:val="28"/>
          <w:szCs w:val="28"/>
          <w:u w:val="single"/>
        </w:rPr>
        <w:t xml:space="preserve">                </w:t>
      </w:r>
    </w:p>
    <w:p>
      <w:pPr>
        <w:autoSpaceDE w:val="0"/>
        <w:autoSpaceDN w:val="0"/>
        <w:spacing w:line="240" w:lineRule="atLeast"/>
        <w:rPr>
          <w:rFonts w:hint="eastAsia" w:ascii="宋体" w:hAnsi="宋体" w:cs="宋体"/>
          <w:b/>
          <w:sz w:val="28"/>
          <w:szCs w:val="28"/>
          <w:u w:val="single"/>
        </w:rPr>
      </w:pPr>
      <w:r>
        <w:rPr>
          <w:rFonts w:hint="eastAsia" w:ascii="宋体" w:hAnsi="宋体" w:cs="宋体"/>
          <w:b/>
          <w:sz w:val="28"/>
          <w:szCs w:val="28"/>
        </w:rPr>
        <w:t xml:space="preserve">              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autoSpaceDE w:val="0"/>
        <w:autoSpaceDN w:val="0"/>
        <w:adjustRightInd w:val="0"/>
        <w:jc w:val="center"/>
        <w:rPr>
          <w:rFonts w:hint="eastAsia" w:ascii="宋体" w:hAnsi="宋体" w:cs="宋体"/>
        </w:rPr>
      </w:pPr>
    </w:p>
    <w:p>
      <w:pPr>
        <w:autoSpaceDE w:val="0"/>
        <w:autoSpaceDN w:val="0"/>
        <w:adjustRightInd w:val="0"/>
        <w:jc w:val="center"/>
        <w:rPr>
          <w:rFonts w:hint="eastAsia" w:ascii="宋体" w:hAnsi="宋体" w:cs="宋体"/>
        </w:rPr>
      </w:pPr>
    </w:p>
    <w:p>
      <w:pPr>
        <w:autoSpaceDE w:val="0"/>
        <w:autoSpaceDN w:val="0"/>
        <w:adjustRightInd w:val="0"/>
        <w:rPr>
          <w:rFonts w:hint="eastAsia" w:ascii="宋体" w:hAnsi="宋体" w:cs="宋体"/>
          <w:b/>
          <w:sz w:val="36"/>
          <w:szCs w:val="36"/>
        </w:rPr>
      </w:pPr>
    </w:p>
    <w:p>
      <w:pPr>
        <w:pStyle w:val="2"/>
        <w:rPr>
          <w:rFonts w:hint="eastAsia" w:ascii="宋体" w:hAnsi="宋体" w:cs="宋体"/>
          <w:b/>
          <w:sz w:val="36"/>
          <w:szCs w:val="36"/>
        </w:rPr>
      </w:pPr>
    </w:p>
    <w:p>
      <w:pPr>
        <w:rPr>
          <w:rFonts w:hint="eastAsia"/>
        </w:rPr>
      </w:pPr>
    </w:p>
    <w:p>
      <w:pPr>
        <w:pStyle w:val="18"/>
        <w:spacing w:before="120" w:line="360" w:lineRule="exact"/>
        <w:jc w:val="center"/>
        <w:rPr>
          <w:rFonts w:hint="eastAsia" w:ascii="宋体" w:hAnsi="宋体" w:cs="宋体"/>
          <w:b/>
          <w:sz w:val="32"/>
          <w:szCs w:val="32"/>
        </w:rPr>
      </w:pPr>
      <w:r>
        <w:rPr>
          <w:rFonts w:hint="eastAsia" w:ascii="宋体" w:hAnsi="宋体" w:cs="宋体"/>
          <w:b/>
          <w:sz w:val="32"/>
          <w:szCs w:val="32"/>
        </w:rPr>
        <w:t>目    录</w:t>
      </w:r>
    </w:p>
    <w:p>
      <w:pPr>
        <w:widowControl/>
        <w:numPr>
          <w:ilvl w:val="0"/>
          <w:numId w:val="0"/>
        </w:numPr>
        <w:tabs>
          <w:tab w:val="left" w:pos="851"/>
          <w:tab w:val="left" w:pos="926"/>
        </w:tabs>
        <w:snapToGrid w:val="0"/>
        <w:spacing w:line="400" w:lineRule="exact"/>
        <w:ind w:leftChars="0"/>
        <w:rPr>
          <w:rFonts w:hint="eastAsia" w:ascii="宋体" w:hAnsi="宋体" w:cs="宋体"/>
          <w:b/>
          <w:bCs/>
          <w:szCs w:val="21"/>
        </w:rPr>
      </w:pPr>
      <w:r>
        <w:rPr>
          <w:rFonts w:hint="eastAsia" w:ascii="宋体" w:hAnsi="宋体" w:cs="宋体"/>
          <w:b/>
          <w:bCs/>
          <w:szCs w:val="21"/>
          <w:lang w:eastAsia="zh-CN"/>
        </w:rPr>
        <w:t>一、</w:t>
      </w:r>
      <w:r>
        <w:rPr>
          <w:rFonts w:hint="eastAsia" w:ascii="宋体" w:hAnsi="宋体" w:cs="宋体"/>
          <w:b/>
          <w:bCs/>
          <w:szCs w:val="21"/>
        </w:rPr>
        <w:t>报价文件格式</w:t>
      </w:r>
    </w:p>
    <w:p>
      <w:pPr>
        <w:widowControl/>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rPr>
        <w:t>1、开标一览表</w:t>
      </w:r>
    </w:p>
    <w:p>
      <w:pPr>
        <w:widowControl/>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rPr>
        <w:t>2、详细报价清单</w:t>
      </w:r>
    </w:p>
    <w:p>
      <w:pPr>
        <w:widowControl/>
        <w:numPr>
          <w:ilvl w:val="0"/>
          <w:numId w:val="0"/>
        </w:numPr>
        <w:tabs>
          <w:tab w:val="left" w:pos="851"/>
          <w:tab w:val="left" w:pos="926"/>
        </w:tabs>
        <w:snapToGrid w:val="0"/>
        <w:spacing w:line="400" w:lineRule="exact"/>
        <w:ind w:leftChars="0"/>
        <w:rPr>
          <w:rFonts w:hint="eastAsia" w:ascii="宋体" w:hAnsi="宋体" w:cs="宋体"/>
          <w:b/>
          <w:bCs/>
          <w:szCs w:val="21"/>
        </w:rPr>
      </w:pPr>
      <w:r>
        <w:rPr>
          <w:rFonts w:hint="eastAsia" w:ascii="宋体" w:hAnsi="宋体" w:cs="宋体"/>
          <w:b/>
          <w:szCs w:val="21"/>
          <w:lang w:eastAsia="zh-CN"/>
        </w:rPr>
        <w:t>二、</w:t>
      </w:r>
      <w:r>
        <w:rPr>
          <w:rFonts w:hint="eastAsia" w:ascii="宋体" w:hAnsi="宋体" w:cs="宋体"/>
          <w:b/>
          <w:szCs w:val="21"/>
        </w:rPr>
        <w:t>商务文件格式：</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投标函</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法定代表人证明书/法定代表人授权书</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商务条款偏离表</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重要指标响应表</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投标人基本情况表</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售后服务机构情况表</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lang w:eastAsia="zh-CN"/>
        </w:rPr>
        <w:t>近</w:t>
      </w:r>
      <w:r>
        <w:rPr>
          <w:rFonts w:hint="eastAsia" w:ascii="宋体" w:hAnsi="宋体" w:cs="宋体"/>
          <w:szCs w:val="21"/>
          <w:lang w:val="en-US" w:eastAsia="zh-CN"/>
        </w:rPr>
        <w:t>2年</w:t>
      </w:r>
      <w:r>
        <w:rPr>
          <w:rFonts w:hint="eastAsia" w:ascii="宋体" w:hAnsi="宋体" w:cs="宋体"/>
          <w:szCs w:val="21"/>
        </w:rPr>
        <w:t>承接的同类项目</w:t>
      </w:r>
      <w:r>
        <w:rPr>
          <w:rFonts w:hint="eastAsia" w:ascii="宋体" w:hAnsi="宋体" w:cs="宋体"/>
          <w:szCs w:val="21"/>
          <w:lang w:eastAsia="zh-CN"/>
        </w:rPr>
        <w:t>业绩</w:t>
      </w:r>
      <w:r>
        <w:rPr>
          <w:rFonts w:hint="eastAsia" w:ascii="宋体" w:hAnsi="宋体" w:cs="宋体"/>
          <w:szCs w:val="21"/>
        </w:rPr>
        <w:t>一览表</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投标保证金退还说明格式</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中标服务费承诺书</w:t>
      </w:r>
    </w:p>
    <w:p>
      <w:pPr>
        <w:widowControl/>
        <w:numPr>
          <w:ilvl w:val="0"/>
          <w:numId w:val="0"/>
        </w:numPr>
        <w:tabs>
          <w:tab w:val="left" w:pos="1272"/>
        </w:tabs>
        <w:adjustRightInd w:val="0"/>
        <w:spacing w:line="400" w:lineRule="exact"/>
        <w:ind w:firstLine="420" w:firstLineChars="200"/>
        <w:jc w:val="left"/>
        <w:rPr>
          <w:rFonts w:hint="eastAsia" w:ascii="宋体" w:hAnsi="宋体" w:cs="宋体"/>
        </w:rPr>
      </w:pPr>
      <w:r>
        <w:rPr>
          <w:rFonts w:hint="eastAsia" w:ascii="宋体" w:hAnsi="宋体" w:cs="宋体"/>
          <w:szCs w:val="21"/>
          <w:lang w:val="en-US" w:eastAsia="zh-CN"/>
        </w:rPr>
        <w:t>12、</w:t>
      </w:r>
      <w:r>
        <w:rPr>
          <w:rFonts w:hint="eastAsia" w:ascii="宋体" w:hAnsi="宋体" w:cs="宋体"/>
        </w:rPr>
        <w:t>投标保证金汇款凭证复印件</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lang w:val="en-US" w:eastAsia="zh-CN"/>
        </w:rPr>
        <w:t>13、</w:t>
      </w:r>
      <w:r>
        <w:rPr>
          <w:rFonts w:hint="eastAsia" w:ascii="宋体" w:hAnsi="宋体" w:cs="宋体"/>
          <w:szCs w:val="21"/>
        </w:rPr>
        <w:t>资格声明函</w:t>
      </w:r>
    </w:p>
    <w:p>
      <w:pPr>
        <w:widowControl/>
        <w:numPr>
          <w:ilvl w:val="0"/>
          <w:numId w:val="0"/>
        </w:numPr>
        <w:tabs>
          <w:tab w:val="left" w:pos="1272"/>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14</w:t>
      </w:r>
      <w:r>
        <w:rPr>
          <w:rFonts w:hint="eastAsia" w:ascii="宋体" w:hAnsi="宋体" w:cs="宋体"/>
          <w:szCs w:val="21"/>
        </w:rPr>
        <w:t>其他资格证明材料</w:t>
      </w:r>
    </w:p>
    <w:p>
      <w:pPr>
        <w:widowControl/>
        <w:numPr>
          <w:ilvl w:val="0"/>
          <w:numId w:val="0"/>
        </w:numPr>
        <w:tabs>
          <w:tab w:val="left" w:pos="851"/>
          <w:tab w:val="left" w:pos="926"/>
        </w:tabs>
        <w:snapToGrid w:val="0"/>
        <w:spacing w:line="400" w:lineRule="exact"/>
        <w:ind w:leftChars="0"/>
        <w:rPr>
          <w:rFonts w:hint="eastAsia" w:ascii="宋体" w:hAnsi="宋体" w:cs="宋体"/>
          <w:b/>
          <w:szCs w:val="21"/>
        </w:rPr>
      </w:pPr>
      <w:r>
        <w:rPr>
          <w:rFonts w:hint="eastAsia" w:ascii="宋体" w:hAnsi="宋体" w:cs="宋体"/>
          <w:b/>
          <w:szCs w:val="21"/>
          <w:lang w:eastAsia="zh-CN"/>
        </w:rPr>
        <w:t>三、</w:t>
      </w:r>
      <w:r>
        <w:rPr>
          <w:rFonts w:hint="eastAsia" w:ascii="宋体" w:hAnsi="宋体" w:cs="宋体"/>
          <w:b/>
          <w:szCs w:val="21"/>
        </w:rPr>
        <w:t>技术文件格式</w:t>
      </w:r>
    </w:p>
    <w:p>
      <w:pPr>
        <w:pStyle w:val="7"/>
        <w:widowControl/>
        <w:numPr>
          <w:ilvl w:val="0"/>
          <w:numId w:val="0"/>
        </w:numPr>
        <w:tabs>
          <w:tab w:val="left" w:pos="1260"/>
        </w:tabs>
        <w:adjustRightInd w:val="0"/>
        <w:spacing w:line="400" w:lineRule="exact"/>
        <w:ind w:firstLine="420" w:firstLineChars="200"/>
        <w:jc w:val="left"/>
        <w:rPr>
          <w:rFonts w:hint="eastAsia" w:ascii="宋体" w:hAnsi="宋体" w:cs="宋体"/>
          <w:szCs w:val="21"/>
        </w:rPr>
      </w:pPr>
      <w:r>
        <w:rPr>
          <w:rFonts w:hint="eastAsia" w:ascii="宋体" w:hAnsi="宋体" w:cs="宋体"/>
          <w:lang w:val="en-US" w:eastAsia="zh-CN"/>
        </w:rPr>
        <w:t>15、</w:t>
      </w:r>
      <w:r>
        <w:rPr>
          <w:rFonts w:hint="eastAsia" w:ascii="宋体" w:hAnsi="宋体" w:cs="宋体"/>
        </w:rPr>
        <w:t>技术规格偏离表</w:t>
      </w:r>
    </w:p>
    <w:p>
      <w:pPr>
        <w:pStyle w:val="7"/>
        <w:widowControl/>
        <w:numPr>
          <w:ilvl w:val="0"/>
          <w:numId w:val="0"/>
        </w:numPr>
        <w:tabs>
          <w:tab w:val="left" w:pos="1260"/>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16、</w:t>
      </w:r>
      <w:r>
        <w:rPr>
          <w:rFonts w:hint="eastAsia" w:ascii="宋体" w:hAnsi="宋体" w:cs="宋体"/>
          <w:szCs w:val="21"/>
          <w:lang w:eastAsia="zh-CN"/>
        </w:rPr>
        <w:t>技术方案</w:t>
      </w:r>
    </w:p>
    <w:p>
      <w:pPr>
        <w:pStyle w:val="7"/>
        <w:widowControl/>
        <w:numPr>
          <w:ilvl w:val="0"/>
          <w:numId w:val="0"/>
        </w:numPr>
        <w:tabs>
          <w:tab w:val="left" w:pos="1260"/>
        </w:tabs>
        <w:adjustRightInd w:val="0"/>
        <w:spacing w:line="400" w:lineRule="exact"/>
        <w:ind w:firstLine="420" w:firstLineChars="200"/>
        <w:jc w:val="left"/>
        <w:rPr>
          <w:rFonts w:hint="eastAsia" w:ascii="宋体" w:hAnsi="宋体" w:cs="宋体"/>
          <w:szCs w:val="21"/>
        </w:rPr>
      </w:pPr>
      <w:r>
        <w:rPr>
          <w:rFonts w:hint="eastAsia" w:ascii="宋体" w:hAnsi="宋体" w:cs="宋体"/>
          <w:szCs w:val="21"/>
          <w:lang w:val="en-US" w:eastAsia="zh-CN"/>
        </w:rPr>
        <w:t>17、</w:t>
      </w:r>
      <w:r>
        <w:rPr>
          <w:rFonts w:hint="eastAsia" w:ascii="宋体" w:hAnsi="宋体" w:cs="宋体"/>
          <w:szCs w:val="21"/>
        </w:rPr>
        <w:t>投标人认为必要的其他技术资料</w:t>
      </w:r>
    </w:p>
    <w:p>
      <w:pPr>
        <w:widowControl/>
        <w:numPr>
          <w:ilvl w:val="1"/>
          <w:numId w:val="38"/>
        </w:numPr>
        <w:snapToGrid w:val="0"/>
        <w:spacing w:line="360" w:lineRule="auto"/>
        <w:rPr>
          <w:rFonts w:hint="eastAsia" w:ascii="宋体" w:hAnsi="宋体" w:cs="宋体"/>
        </w:rPr>
        <w:sectPr>
          <w:headerReference r:id="rId6" w:type="default"/>
          <w:pgSz w:w="11907" w:h="16840"/>
          <w:pgMar w:top="1094" w:right="1247" w:bottom="1304" w:left="1247" w:header="851" w:footer="992" w:gutter="0"/>
          <w:cols w:space="720" w:num="1"/>
          <w:docGrid w:linePitch="312" w:charSpace="0"/>
        </w:sectPr>
      </w:pPr>
    </w:p>
    <w:p>
      <w:pPr>
        <w:rPr>
          <w:rFonts w:hint="eastAsia" w:ascii="宋体" w:hAnsi="宋体" w:cs="宋体"/>
        </w:rPr>
      </w:pPr>
      <w:bookmarkStart w:id="44" w:name="_Toc253064701"/>
      <w:bookmarkStart w:id="45" w:name="_Toc253064699"/>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52"/>
          <w:szCs w:val="52"/>
        </w:rPr>
      </w:pPr>
      <w:bookmarkStart w:id="46" w:name="_Toc321060597"/>
      <w:bookmarkStart w:id="47" w:name="_Toc401826128"/>
      <w:bookmarkStart w:id="48" w:name="_Toc270327213"/>
      <w:bookmarkStart w:id="49" w:name="_Toc401826040"/>
      <w:bookmarkStart w:id="50" w:name="_Toc401763166"/>
      <w:bookmarkStart w:id="51" w:name="_Toc421205751"/>
      <w:bookmarkStart w:id="52" w:name="_Toc321060677"/>
      <w:r>
        <w:rPr>
          <w:rFonts w:hint="eastAsia" w:ascii="宋体" w:hAnsi="宋体" w:cs="宋体"/>
          <w:b/>
          <w:bCs/>
          <w:sz w:val="36"/>
          <w:szCs w:val="36"/>
        </w:rPr>
        <w:t xml:space="preserve">第一部分 </w:t>
      </w:r>
      <w:r>
        <w:rPr>
          <w:rFonts w:hint="eastAsia" w:ascii="宋体" w:hAnsi="宋体" w:cs="宋体"/>
          <w:b/>
          <w:bCs/>
          <w:sz w:val="36"/>
          <w:szCs w:val="36"/>
          <w:lang w:eastAsia="zh-CN"/>
        </w:rPr>
        <w:t>报价</w:t>
      </w:r>
      <w:r>
        <w:rPr>
          <w:rFonts w:hint="eastAsia" w:ascii="宋体" w:hAnsi="宋体" w:cs="宋体"/>
          <w:b/>
          <w:bCs/>
          <w:sz w:val="36"/>
          <w:szCs w:val="36"/>
        </w:rPr>
        <w:t>文件格式</w:t>
      </w:r>
      <w:bookmarkEnd w:id="46"/>
      <w:bookmarkEnd w:id="47"/>
      <w:bookmarkEnd w:id="48"/>
      <w:bookmarkEnd w:id="49"/>
      <w:bookmarkEnd w:id="50"/>
      <w:bookmarkEnd w:id="51"/>
      <w:bookmarkEnd w:id="52"/>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bookmarkEnd w:id="44"/>
    <w:bookmarkEnd w:id="45"/>
    <w:p>
      <w:pPr>
        <w:rPr>
          <w:rFonts w:hint="eastAsia"/>
        </w:rPr>
      </w:pPr>
      <w:bookmarkStart w:id="53" w:name="_Toc421205752"/>
      <w:bookmarkStart w:id="54" w:name="_Toc421004189"/>
      <w:bookmarkStart w:id="55" w:name="_Toc420684755"/>
    </w:p>
    <w:p>
      <w:pPr>
        <w:rPr>
          <w:rFonts w:hint="eastAsia" w:ascii="宋体" w:hAnsi="宋体" w:cs="宋体"/>
          <w:sz w:val="28"/>
          <w:szCs w:val="28"/>
        </w:rPr>
      </w:pPr>
      <w:r>
        <w:rPr>
          <w:rFonts w:hint="eastAsia" w:ascii="宋体" w:hAnsi="宋体" w:cs="宋体"/>
          <w:sz w:val="28"/>
          <w:szCs w:val="28"/>
        </w:rPr>
        <w:t>表5-1  开标一览表</w:t>
      </w:r>
      <w:bookmarkEnd w:id="53"/>
      <w:bookmarkEnd w:id="54"/>
      <w:bookmarkEnd w:id="55"/>
    </w:p>
    <w:p>
      <w:pPr>
        <w:spacing w:line="360" w:lineRule="auto"/>
        <w:ind w:firstLine="210" w:firstLineChars="100"/>
        <w:rPr>
          <w:rFonts w:hint="eastAsia" w:ascii="宋体" w:hAnsi="宋体" w:cs="宋体"/>
          <w:szCs w:val="21"/>
        </w:rPr>
      </w:pPr>
    </w:p>
    <w:p>
      <w:pPr>
        <w:spacing w:line="360" w:lineRule="auto"/>
        <w:ind w:firstLine="210" w:firstLineChars="100"/>
        <w:rPr>
          <w:rFonts w:hint="eastAsia"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47"/>
        <w:tblW w:w="943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0"/>
        <w:gridCol w:w="3119"/>
        <w:gridCol w:w="3827"/>
        <w:gridCol w:w="15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890"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序号</w:t>
            </w:r>
          </w:p>
        </w:tc>
        <w:tc>
          <w:tcPr>
            <w:tcW w:w="3119" w:type="dxa"/>
            <w:shd w:val="clear" w:color="auto" w:fill="D9D9D9"/>
            <w:vAlign w:val="center"/>
          </w:tcPr>
          <w:p>
            <w:pPr>
              <w:pStyle w:val="74"/>
              <w:keepNext w:val="0"/>
              <w:snapToGrid w:val="0"/>
              <w:spacing w:before="0" w:after="0" w:line="240" w:lineRule="auto"/>
              <w:textAlignment w:val="auto"/>
              <w:rPr>
                <w:rFonts w:hint="eastAsia" w:ascii="宋体" w:hAnsi="宋体" w:cs="宋体"/>
                <w:snapToGrid/>
                <w:spacing w:val="0"/>
                <w:kern w:val="2"/>
                <w:sz w:val="21"/>
                <w:szCs w:val="21"/>
              </w:rPr>
            </w:pPr>
            <w:r>
              <w:rPr>
                <w:rFonts w:hint="eastAsia" w:ascii="宋体" w:hAnsi="宋体" w:cs="宋体"/>
                <w:snapToGrid/>
                <w:spacing w:val="0"/>
                <w:kern w:val="2"/>
                <w:sz w:val="21"/>
                <w:szCs w:val="21"/>
              </w:rPr>
              <w:t>名称</w:t>
            </w:r>
          </w:p>
        </w:tc>
        <w:tc>
          <w:tcPr>
            <w:tcW w:w="3827"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投标总价（元）</w:t>
            </w:r>
          </w:p>
        </w:tc>
        <w:tc>
          <w:tcPr>
            <w:tcW w:w="1598" w:type="dxa"/>
            <w:shd w:val="clear" w:color="auto" w:fill="D9D9D9"/>
            <w:vAlign w:val="center"/>
          </w:tcPr>
          <w:p>
            <w:pPr>
              <w:adjustRightInd w:val="0"/>
              <w:snapToGrid w:val="0"/>
              <w:jc w:val="center"/>
              <w:rPr>
                <w:rFonts w:hint="eastAsia" w:ascii="宋体" w:hAnsi="宋体" w:cs="宋体"/>
                <w:szCs w:val="21"/>
              </w:rPr>
            </w:pPr>
            <w:r>
              <w:rPr>
                <w:rFonts w:hint="eastAsia" w:ascii="宋体" w:hAnsi="宋体" w:cs="宋体"/>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8" w:hRule="atLeast"/>
          <w:jc w:val="center"/>
        </w:trPr>
        <w:tc>
          <w:tcPr>
            <w:tcW w:w="890"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3119" w:type="dxa"/>
            <w:vAlign w:val="center"/>
          </w:tcPr>
          <w:p>
            <w:pPr>
              <w:jc w:val="center"/>
              <w:rPr>
                <w:rFonts w:hint="eastAsia" w:ascii="宋体" w:hAnsi="宋体" w:cs="宋体"/>
                <w:szCs w:val="21"/>
              </w:rPr>
            </w:pPr>
            <w:r>
              <w:rPr>
                <w:rFonts w:hint="eastAsia"/>
                <w:b w:val="0"/>
                <w:bCs w:val="0"/>
                <w:kern w:val="28"/>
                <w:sz w:val="21"/>
                <w:szCs w:val="21"/>
                <w:u w:val="none"/>
                <w:lang w:eastAsia="zh-CN"/>
              </w:rPr>
              <w:t>中山市坦洲镇污水处理有限公司消毒剂采购项目</w:t>
            </w:r>
          </w:p>
        </w:tc>
        <w:tc>
          <w:tcPr>
            <w:tcW w:w="3827" w:type="dxa"/>
            <w:vAlign w:val="center"/>
          </w:tcPr>
          <w:p>
            <w:pPr>
              <w:adjustRightInd w:val="0"/>
              <w:snapToGrid w:val="0"/>
              <w:rPr>
                <w:rFonts w:hint="eastAsia" w:ascii="宋体" w:hAnsi="宋体" w:cs="宋体"/>
                <w:szCs w:val="21"/>
              </w:rPr>
            </w:pPr>
          </w:p>
        </w:tc>
        <w:tc>
          <w:tcPr>
            <w:tcW w:w="1598" w:type="dxa"/>
            <w:vAlign w:val="center"/>
          </w:tcPr>
          <w:p>
            <w:pPr>
              <w:adjustRightInd w:val="0"/>
              <w:snapToGrid w:val="0"/>
              <w:rPr>
                <w:rFonts w:hint="eastAsia" w:ascii="宋体" w:hAnsi="宋体" w:cs="宋体"/>
                <w:szCs w:val="21"/>
              </w:rPr>
            </w:pPr>
          </w:p>
        </w:tc>
      </w:tr>
    </w:tbl>
    <w:p>
      <w:pPr>
        <w:snapToGrid w:val="0"/>
        <w:spacing w:line="360" w:lineRule="auto"/>
        <w:ind w:left="315" w:hanging="315" w:hangingChars="150"/>
        <w:rPr>
          <w:rFonts w:hint="eastAsia" w:ascii="宋体" w:hAnsi="宋体" w:cs="宋体"/>
          <w:szCs w:val="21"/>
        </w:rPr>
      </w:pPr>
      <w:r>
        <w:rPr>
          <w:rFonts w:hint="eastAsia" w:ascii="宋体" w:hAnsi="宋体" w:cs="宋体"/>
          <w:szCs w:val="21"/>
        </w:rPr>
        <w:t xml:space="preserve">   注：</w:t>
      </w:r>
    </w:p>
    <w:p>
      <w:pPr>
        <w:spacing w:line="360" w:lineRule="auto"/>
        <w:ind w:firstLine="411" w:firstLineChars="196"/>
        <w:rPr>
          <w:rFonts w:hint="eastAsia" w:ascii="宋体" w:hAnsi="宋体" w:cs="宋体"/>
          <w:szCs w:val="21"/>
        </w:rPr>
      </w:pPr>
      <w:r>
        <w:rPr>
          <w:rFonts w:hint="eastAsia" w:ascii="宋体" w:hAnsi="宋体" w:cs="宋体"/>
          <w:szCs w:val="21"/>
        </w:rPr>
        <w:t>投标价格包括：</w:t>
      </w:r>
      <w:r>
        <w:rPr>
          <w:rFonts w:hint="eastAsia" w:ascii="宋体" w:hAnsi="宋体" w:cs="宋体"/>
          <w:szCs w:val="21"/>
          <w:highlight w:val="none"/>
          <w:lang w:eastAsia="zh-CN"/>
        </w:rPr>
        <w:t>产品</w:t>
      </w:r>
      <w:r>
        <w:rPr>
          <w:rFonts w:hint="eastAsia" w:ascii="宋体" w:hAnsi="宋体" w:cs="宋体"/>
          <w:szCs w:val="21"/>
          <w:highlight w:val="none"/>
        </w:rPr>
        <w:t>及</w:t>
      </w:r>
      <w:r>
        <w:rPr>
          <w:rFonts w:hint="eastAsia" w:ascii="宋体" w:hAnsi="宋体" w:cs="宋体"/>
          <w:szCs w:val="21"/>
          <w:highlight w:val="none"/>
          <w:lang w:eastAsia="zh-CN"/>
        </w:rPr>
        <w:t>配套设备</w:t>
      </w:r>
      <w:r>
        <w:rPr>
          <w:rFonts w:hint="eastAsia" w:ascii="宋体" w:hAnsi="宋体" w:cs="宋体"/>
          <w:szCs w:val="21"/>
          <w:highlight w:val="none"/>
        </w:rPr>
        <w:t>的购置和安装、运输</w:t>
      </w:r>
      <w:r>
        <w:rPr>
          <w:rFonts w:hint="eastAsia" w:ascii="宋体" w:hAnsi="宋体" w:cs="宋体"/>
          <w:szCs w:val="21"/>
        </w:rPr>
        <w:t>保险、装卸、培训辅导、质保期售后服务、全额含税发票、雇员费用、合同实施过程中应预见和不可预见费用等。所有价格均应以人民币报价，金额单位为元。</w:t>
      </w:r>
    </w:p>
    <w:p>
      <w:pPr>
        <w:snapToGrid w:val="0"/>
        <w:spacing w:line="360" w:lineRule="auto"/>
        <w:ind w:left="314" w:hanging="120"/>
        <w:rPr>
          <w:rFonts w:hint="eastAsia" w:ascii="宋体" w:hAnsi="宋体" w:cs="宋体"/>
          <w:szCs w:val="21"/>
        </w:rPr>
      </w:pPr>
    </w:p>
    <w:p>
      <w:pPr>
        <w:spacing w:line="400" w:lineRule="exact"/>
        <w:rPr>
          <w:rFonts w:hint="eastAsia" w:ascii="宋体" w:hAnsi="宋体" w:cs="宋体"/>
          <w:bCs/>
          <w:kern w:val="28"/>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ind w:firstLine="4725" w:firstLineChars="2250"/>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rPr>
          <w:rFonts w:hint="eastAsia" w:ascii="宋体" w:hAnsi="宋体" w:cs="宋体"/>
          <w:sz w:val="28"/>
          <w:szCs w:val="28"/>
        </w:rPr>
      </w:pPr>
      <w:bookmarkStart w:id="56" w:name="_Toc421004190"/>
      <w:bookmarkStart w:id="57" w:name="_Toc421205753"/>
      <w:bookmarkStart w:id="58" w:name="_Toc420684756"/>
      <w:r>
        <w:rPr>
          <w:rFonts w:hint="eastAsia" w:ascii="宋体" w:hAnsi="宋体" w:cs="宋体"/>
          <w:sz w:val="28"/>
          <w:szCs w:val="28"/>
        </w:rPr>
        <w:t xml:space="preserve">表5-2  </w:t>
      </w:r>
      <w:bookmarkEnd w:id="56"/>
      <w:bookmarkEnd w:id="57"/>
      <w:bookmarkEnd w:id="58"/>
      <w:r>
        <w:rPr>
          <w:rFonts w:hint="eastAsia" w:ascii="宋体" w:hAnsi="宋体" w:cs="宋体"/>
          <w:sz w:val="28"/>
          <w:szCs w:val="28"/>
        </w:rPr>
        <w:t>详细报价清单</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投标人按采购人提供的详细采购设备清单进行报价：</w:t>
      </w:r>
    </w:p>
    <w:tbl>
      <w:tblPr>
        <w:tblStyle w:val="47"/>
        <w:tblW w:w="102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7"/>
        <w:gridCol w:w="1800"/>
        <w:gridCol w:w="1271"/>
        <w:gridCol w:w="925"/>
        <w:gridCol w:w="2093"/>
        <w:gridCol w:w="921"/>
        <w:gridCol w:w="1688"/>
        <w:gridCol w:w="1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7" w:type="dxa"/>
            <w:shd w:val="clear" w:color="auto" w:fill="FFFFFF"/>
            <w:noWrap w:val="0"/>
            <w:vAlign w:val="center"/>
          </w:tcPr>
          <w:p>
            <w:pPr>
              <w:jc w:val="center"/>
              <w:rPr>
                <w:rFonts w:ascii="宋体" w:cs="Arial"/>
                <w:b/>
                <w:szCs w:val="21"/>
              </w:rPr>
            </w:pPr>
            <w:r>
              <w:rPr>
                <w:rFonts w:hint="eastAsia" w:ascii="宋体" w:hAnsi="宋体" w:cs="Arial"/>
                <w:b/>
                <w:szCs w:val="21"/>
              </w:rPr>
              <w:t>序号</w:t>
            </w:r>
          </w:p>
        </w:tc>
        <w:tc>
          <w:tcPr>
            <w:tcW w:w="1800" w:type="dxa"/>
            <w:shd w:val="clear" w:color="auto" w:fill="FFFFFF"/>
            <w:noWrap w:val="0"/>
            <w:vAlign w:val="center"/>
          </w:tcPr>
          <w:p>
            <w:pPr>
              <w:jc w:val="center"/>
              <w:rPr>
                <w:rFonts w:ascii="宋体" w:cs="Arial"/>
                <w:b/>
                <w:szCs w:val="21"/>
              </w:rPr>
            </w:pPr>
            <w:r>
              <w:rPr>
                <w:rFonts w:hint="eastAsia" w:ascii="宋体" w:hAnsi="宋体" w:cs="Arial"/>
                <w:b/>
                <w:szCs w:val="21"/>
              </w:rPr>
              <w:t>名称</w:t>
            </w:r>
          </w:p>
        </w:tc>
        <w:tc>
          <w:tcPr>
            <w:tcW w:w="1271" w:type="dxa"/>
            <w:tcBorders>
              <w:righ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规格型号</w:t>
            </w:r>
          </w:p>
        </w:tc>
        <w:tc>
          <w:tcPr>
            <w:tcW w:w="925" w:type="dxa"/>
            <w:tcBorders>
              <w:left w:val="single" w:color="auto" w:sz="4" w:space="0"/>
              <w:righ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品牌</w:t>
            </w:r>
          </w:p>
        </w:tc>
        <w:tc>
          <w:tcPr>
            <w:tcW w:w="2093" w:type="dxa"/>
            <w:tcBorders>
              <w:left w:val="single" w:color="auto" w:sz="4" w:space="0"/>
            </w:tcBorders>
            <w:shd w:val="clear" w:color="auto" w:fill="FFFFFF"/>
            <w:noWrap w:val="0"/>
            <w:vAlign w:val="center"/>
          </w:tcPr>
          <w:p>
            <w:pPr>
              <w:jc w:val="center"/>
              <w:rPr>
                <w:rFonts w:ascii="宋体" w:cs="Arial"/>
                <w:b/>
                <w:szCs w:val="21"/>
              </w:rPr>
            </w:pPr>
            <w:r>
              <w:rPr>
                <w:rFonts w:hint="eastAsia" w:ascii="宋体" w:hAnsi="宋体" w:cs="Arial"/>
                <w:b/>
                <w:szCs w:val="21"/>
              </w:rPr>
              <w:t>制造商</w:t>
            </w:r>
          </w:p>
        </w:tc>
        <w:tc>
          <w:tcPr>
            <w:tcW w:w="921" w:type="dxa"/>
            <w:shd w:val="clear" w:color="auto" w:fill="FFFFFF"/>
            <w:noWrap w:val="0"/>
            <w:vAlign w:val="center"/>
          </w:tcPr>
          <w:p>
            <w:pPr>
              <w:jc w:val="center"/>
              <w:rPr>
                <w:rFonts w:ascii="宋体" w:cs="Arial"/>
                <w:b/>
                <w:szCs w:val="21"/>
              </w:rPr>
            </w:pPr>
            <w:r>
              <w:rPr>
                <w:rFonts w:hint="eastAsia" w:ascii="宋体" w:hAnsi="宋体" w:cs="Arial"/>
                <w:b/>
                <w:szCs w:val="21"/>
              </w:rPr>
              <w:t>数量</w:t>
            </w:r>
          </w:p>
        </w:tc>
        <w:tc>
          <w:tcPr>
            <w:tcW w:w="1688" w:type="dxa"/>
            <w:shd w:val="clear" w:color="auto" w:fill="FFFFFF"/>
            <w:noWrap w:val="0"/>
            <w:vAlign w:val="center"/>
          </w:tcPr>
          <w:p>
            <w:pPr>
              <w:jc w:val="center"/>
              <w:rPr>
                <w:rFonts w:ascii="宋体" w:cs="Arial"/>
                <w:b/>
                <w:szCs w:val="21"/>
              </w:rPr>
            </w:pPr>
            <w:r>
              <w:rPr>
                <w:rFonts w:hint="eastAsia" w:ascii="宋体" w:hAnsi="宋体" w:cs="Arial"/>
                <w:b/>
                <w:szCs w:val="21"/>
              </w:rPr>
              <w:t>单价</w:t>
            </w:r>
          </w:p>
        </w:tc>
        <w:tc>
          <w:tcPr>
            <w:tcW w:w="1147" w:type="dxa"/>
            <w:shd w:val="clear" w:color="auto" w:fill="FFFFFF"/>
            <w:noWrap w:val="0"/>
            <w:vAlign w:val="center"/>
          </w:tcPr>
          <w:p>
            <w:pPr>
              <w:jc w:val="center"/>
              <w:rPr>
                <w:rFonts w:ascii="宋体" w:cs="Arial"/>
                <w:b/>
                <w:szCs w:val="21"/>
              </w:rPr>
            </w:pPr>
            <w:r>
              <w:rPr>
                <w:rFonts w:hint="eastAsia" w:ascii="宋体" w:hAnsi="宋体" w:cs="Arial"/>
                <w:b/>
                <w:szCs w:val="21"/>
              </w:rPr>
              <w:t>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center"/>
          </w:tcPr>
          <w:p>
            <w:pPr>
              <w:snapToGrid w:val="0"/>
              <w:jc w:val="center"/>
              <w:rPr>
                <w:rFonts w:ascii="宋体" w:cs="Arial"/>
                <w:szCs w:val="21"/>
              </w:rPr>
            </w:pPr>
            <w:r>
              <w:rPr>
                <w:rFonts w:ascii="宋体" w:hAnsi="宋体" w:cs="Arial"/>
                <w:szCs w:val="21"/>
              </w:rPr>
              <w:t>1</w:t>
            </w: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r>
              <w:rPr>
                <w:rFonts w:hint="eastAsia" w:ascii="宋体" w:hAnsi="宋体" w:cs="Arial"/>
                <w:szCs w:val="21"/>
              </w:rPr>
              <w:t>…</w:t>
            </w: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1800" w:type="dxa"/>
            <w:shd w:val="clear" w:color="auto" w:fill="FFFFFF"/>
            <w:noWrap w:val="0"/>
            <w:vAlign w:val="top"/>
          </w:tcPr>
          <w:p>
            <w:pPr>
              <w:jc w:val="cente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1800" w:type="dxa"/>
            <w:shd w:val="clear" w:color="auto" w:fill="FFFFFF"/>
            <w:noWrap w:val="0"/>
            <w:vAlign w:val="top"/>
          </w:tcPr>
          <w:p>
            <w:pPr>
              <w:snapToGrid w:val="0"/>
              <w:jc w:val="center"/>
              <w:rPr>
                <w:rFonts w:ascii="宋体" w:cs="Arial"/>
                <w:szCs w:val="21"/>
              </w:rPr>
            </w:pPr>
            <w:r>
              <w:rPr>
                <w:rFonts w:hint="eastAsia" w:ascii="宋体" w:hAnsi="宋体" w:cs="Arial"/>
                <w:szCs w:val="21"/>
              </w:rPr>
              <w:t>…</w:t>
            </w:r>
          </w:p>
        </w:tc>
        <w:tc>
          <w:tcPr>
            <w:tcW w:w="1271" w:type="dxa"/>
            <w:tcBorders>
              <w:right w:val="single" w:color="auto" w:sz="4" w:space="0"/>
            </w:tcBorders>
            <w:shd w:val="clear" w:color="auto" w:fill="FFFFFF"/>
            <w:noWrap w:val="0"/>
            <w:vAlign w:val="top"/>
          </w:tcPr>
          <w:p>
            <w:pPr>
              <w:snapToGrid w:val="0"/>
              <w:rPr>
                <w:rFonts w:ascii="宋体" w:cs="Arial"/>
                <w:szCs w:val="21"/>
              </w:rPr>
            </w:pPr>
          </w:p>
        </w:tc>
        <w:tc>
          <w:tcPr>
            <w:tcW w:w="925" w:type="dxa"/>
            <w:tcBorders>
              <w:left w:val="single" w:color="auto" w:sz="4" w:space="0"/>
              <w:right w:val="single" w:color="auto" w:sz="4" w:space="0"/>
            </w:tcBorders>
            <w:shd w:val="clear" w:color="auto" w:fill="FFFFFF"/>
            <w:noWrap w:val="0"/>
            <w:vAlign w:val="top"/>
          </w:tcPr>
          <w:p>
            <w:pPr>
              <w:snapToGrid w:val="0"/>
              <w:rPr>
                <w:rFonts w:ascii="宋体" w:cs="Arial"/>
                <w:szCs w:val="21"/>
              </w:rPr>
            </w:pPr>
          </w:p>
        </w:tc>
        <w:tc>
          <w:tcPr>
            <w:tcW w:w="2093" w:type="dxa"/>
            <w:tcBorders>
              <w:left w:val="single" w:color="auto" w:sz="4" w:space="0"/>
            </w:tcBorders>
            <w:shd w:val="clear" w:color="auto" w:fill="FFFFFF"/>
            <w:noWrap w:val="0"/>
            <w:vAlign w:val="top"/>
          </w:tcPr>
          <w:p>
            <w:pPr>
              <w:snapToGrid w:val="0"/>
              <w:rPr>
                <w:rFonts w:ascii="宋体" w:cs="Arial"/>
                <w:szCs w:val="21"/>
              </w:rPr>
            </w:pPr>
          </w:p>
        </w:tc>
        <w:tc>
          <w:tcPr>
            <w:tcW w:w="921" w:type="dxa"/>
            <w:shd w:val="clear" w:color="auto" w:fill="FFFFFF"/>
            <w:noWrap w:val="0"/>
            <w:vAlign w:val="top"/>
          </w:tcPr>
          <w:p>
            <w:pPr>
              <w:snapToGrid w:val="0"/>
              <w:rPr>
                <w:rFonts w:ascii="宋体" w:cs="Arial"/>
                <w:szCs w:val="21"/>
              </w:rPr>
            </w:pPr>
          </w:p>
        </w:tc>
        <w:tc>
          <w:tcPr>
            <w:tcW w:w="1688" w:type="dxa"/>
            <w:shd w:val="clear" w:color="auto" w:fill="FFFFFF"/>
            <w:noWrap w:val="0"/>
            <w:vAlign w:val="top"/>
          </w:tcPr>
          <w:p>
            <w:pPr>
              <w:snapToGrid w:val="0"/>
              <w:rPr>
                <w:rFonts w:ascii="宋体" w:cs="Arial"/>
                <w:szCs w:val="21"/>
              </w:rPr>
            </w:pP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售后服务费（含</w:t>
            </w:r>
            <w:r>
              <w:rPr>
                <w:rFonts w:hint="eastAsia" w:ascii="宋体" w:hAnsi="宋体"/>
                <w:b/>
                <w:szCs w:val="21"/>
              </w:rPr>
              <w:t>安装费、调试费、保修等）</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人员培训</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b/>
                <w:szCs w:val="21"/>
              </w:rPr>
              <w:t>运杂费、保险费</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税金</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27" w:type="dxa"/>
            <w:shd w:val="clear" w:color="auto" w:fill="FFFFFF"/>
            <w:noWrap w:val="0"/>
            <w:vAlign w:val="top"/>
          </w:tcPr>
          <w:p>
            <w:pPr>
              <w:snapToGrid w:val="0"/>
              <w:rPr>
                <w:rFonts w:ascii="宋体" w:cs="Arial"/>
                <w:szCs w:val="21"/>
              </w:rPr>
            </w:pPr>
          </w:p>
        </w:tc>
        <w:tc>
          <w:tcPr>
            <w:tcW w:w="8698" w:type="dxa"/>
            <w:gridSpan w:val="6"/>
            <w:shd w:val="clear" w:color="auto" w:fill="FFFFFF"/>
            <w:noWrap w:val="0"/>
            <w:vAlign w:val="top"/>
          </w:tcPr>
          <w:p>
            <w:pPr>
              <w:snapToGrid w:val="0"/>
              <w:rPr>
                <w:rFonts w:ascii="宋体" w:hAnsi="宋体" w:cs="Arial"/>
                <w:b/>
                <w:szCs w:val="21"/>
              </w:rPr>
            </w:pPr>
            <w:r>
              <w:rPr>
                <w:rFonts w:hint="eastAsia" w:ascii="宋体" w:hAnsi="宋体" w:cs="Arial"/>
                <w:b/>
                <w:szCs w:val="21"/>
              </w:rPr>
              <w:t>其他</w:t>
            </w:r>
          </w:p>
        </w:tc>
        <w:tc>
          <w:tcPr>
            <w:tcW w:w="1147" w:type="dxa"/>
            <w:shd w:val="clear" w:color="auto" w:fill="FFFFFF"/>
            <w:noWrap w:val="0"/>
            <w:vAlign w:val="top"/>
          </w:tcPr>
          <w:p>
            <w:pPr>
              <w:snapToGrid w:val="0"/>
              <w:rPr>
                <w:rFonts w:ascii="宋体"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272" w:type="dxa"/>
            <w:gridSpan w:val="8"/>
            <w:shd w:val="clear" w:color="auto" w:fill="FFFFFF"/>
            <w:noWrap w:val="0"/>
            <w:vAlign w:val="top"/>
          </w:tcPr>
          <w:p>
            <w:pPr>
              <w:snapToGrid w:val="0"/>
              <w:rPr>
                <w:rFonts w:ascii="宋体" w:cs="Arial"/>
                <w:b/>
                <w:szCs w:val="21"/>
              </w:rPr>
            </w:pPr>
            <w:r>
              <w:rPr>
                <w:rFonts w:hint="eastAsia" w:ascii="宋体" w:hAnsi="宋体" w:cs="Arial"/>
                <w:b/>
                <w:szCs w:val="21"/>
              </w:rPr>
              <w:t>投标总价合计：</w:t>
            </w:r>
          </w:p>
        </w:tc>
      </w:tr>
    </w:tbl>
    <w:p>
      <w:pPr>
        <w:spacing w:line="360" w:lineRule="auto"/>
        <w:rPr>
          <w:rFonts w:hint="eastAsia" w:ascii="宋体" w:hAnsi="宋体" w:cs="宋体"/>
          <w:szCs w:val="21"/>
        </w:rPr>
      </w:pPr>
      <w:r>
        <w:rPr>
          <w:rFonts w:hint="eastAsia" w:ascii="宋体" w:hAnsi="宋体" w:cs="宋体"/>
          <w:szCs w:val="21"/>
        </w:rPr>
        <w:t>注：</w:t>
      </w:r>
    </w:p>
    <w:p>
      <w:pPr>
        <w:spacing w:line="360" w:lineRule="auto"/>
        <w:ind w:left="315" w:hanging="315" w:hangingChars="150"/>
        <w:rPr>
          <w:rFonts w:hint="eastAsia" w:ascii="宋体" w:hAnsi="宋体" w:cs="宋体"/>
          <w:szCs w:val="21"/>
        </w:rPr>
      </w:pPr>
      <w:r>
        <w:rPr>
          <w:rFonts w:hint="eastAsia" w:ascii="宋体" w:hAnsi="宋体" w:cs="宋体"/>
          <w:szCs w:val="21"/>
        </w:rPr>
        <w:t>1、如果不提供详细分项报价将视为没有实质性响应招标文件。</w:t>
      </w:r>
    </w:p>
    <w:p>
      <w:pPr>
        <w:spacing w:line="360" w:lineRule="auto"/>
        <w:rPr>
          <w:rFonts w:hint="eastAsia" w:ascii="宋体" w:hAnsi="宋体" w:cs="宋体"/>
          <w:szCs w:val="21"/>
        </w:rPr>
      </w:pPr>
      <w:r>
        <w:rPr>
          <w:rFonts w:hint="eastAsia" w:ascii="宋体" w:hAnsi="宋体" w:cs="宋体"/>
          <w:szCs w:val="21"/>
        </w:rPr>
        <w:t>2、如本表格式内容不能满足需要，投标人可根据</w:t>
      </w:r>
      <w:r>
        <w:rPr>
          <w:rFonts w:hint="eastAsia" w:ascii="宋体" w:hAnsi="宋体" w:cs="宋体"/>
          <w:szCs w:val="21"/>
          <w:lang w:eastAsia="zh-CN"/>
        </w:rPr>
        <w:t>自身实际情况</w:t>
      </w:r>
      <w:r>
        <w:rPr>
          <w:rFonts w:hint="eastAsia" w:ascii="宋体" w:hAnsi="宋体" w:cs="宋体"/>
          <w:szCs w:val="21"/>
        </w:rPr>
        <w:t>自行划表填写。</w:t>
      </w:r>
    </w:p>
    <w:p>
      <w:pPr>
        <w:spacing w:line="360" w:lineRule="auto"/>
        <w:rPr>
          <w:rFonts w:hint="eastAsia" w:ascii="宋体" w:hAnsi="宋体" w:cs="宋体"/>
          <w:szCs w:val="21"/>
        </w:rPr>
      </w:pPr>
      <w:r>
        <w:rPr>
          <w:rFonts w:hint="eastAsia" w:ascii="宋体" w:hAnsi="宋体" w:cs="宋体"/>
          <w:szCs w:val="21"/>
        </w:rPr>
        <w:t>3、投标人投标时不得更改采购人发出的采购设备清单数量，否则在确认中标后采购人有权中标人按清单数量施工。</w:t>
      </w: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ind w:firstLine="210" w:firstLineChars="100"/>
        <w:jc w:val="right"/>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500" w:lineRule="exact"/>
        <w:ind w:firstLine="4725" w:firstLineChars="2250"/>
        <w:rPr>
          <w:rFonts w:hint="eastAsia" w:ascii="宋体" w:hAnsi="宋体" w:cs="宋体"/>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jc w:val="center"/>
        <w:rPr>
          <w:rFonts w:hint="eastAsia" w:ascii="宋体" w:hAnsi="宋体" w:cs="宋体"/>
          <w:b/>
          <w:bCs/>
          <w:sz w:val="36"/>
          <w:szCs w:val="36"/>
        </w:rPr>
      </w:pPr>
      <w:bookmarkStart w:id="59" w:name="_Toc420684757"/>
      <w:bookmarkStart w:id="60" w:name="_Toc421004191"/>
      <w:bookmarkStart w:id="61" w:name="_Toc421205754"/>
      <w:r>
        <w:rPr>
          <w:rFonts w:hint="eastAsia" w:ascii="宋体" w:hAnsi="宋体" w:cs="宋体"/>
          <w:b/>
          <w:bCs/>
          <w:sz w:val="36"/>
          <w:szCs w:val="36"/>
        </w:rPr>
        <w:t>第二部分 商务文件格式</w:t>
      </w:r>
      <w:bookmarkEnd w:id="59"/>
      <w:bookmarkEnd w:id="60"/>
      <w:bookmarkEnd w:id="61"/>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rPr>
          <w:rFonts w:hint="eastAsia" w:ascii="宋体" w:hAnsi="宋体" w:cs="宋体"/>
          <w:b/>
          <w:sz w:val="44"/>
          <w:szCs w:val="44"/>
        </w:rPr>
      </w:pPr>
    </w:p>
    <w:p>
      <w:pPr>
        <w:spacing w:line="360" w:lineRule="auto"/>
        <w:rPr>
          <w:rFonts w:hint="eastAsia" w:ascii="宋体" w:hAnsi="宋体" w:cs="宋体"/>
          <w:b/>
          <w:sz w:val="44"/>
          <w:szCs w:val="44"/>
        </w:rPr>
      </w:pPr>
    </w:p>
    <w:p>
      <w:pPr>
        <w:rPr>
          <w:rFonts w:hint="eastAsia" w:ascii="宋体" w:hAnsi="宋体" w:cs="宋体"/>
          <w:sz w:val="28"/>
          <w:szCs w:val="28"/>
        </w:rPr>
      </w:pPr>
      <w:bookmarkStart w:id="62" w:name="_Toc263147001"/>
      <w:bookmarkStart w:id="63" w:name="_Toc421205756"/>
      <w:bookmarkStart w:id="64" w:name="_Toc421004193"/>
      <w:bookmarkStart w:id="65" w:name="_Toc420684759"/>
      <w:r>
        <w:rPr>
          <w:rFonts w:hint="eastAsia" w:ascii="宋体" w:hAnsi="宋体" w:cs="宋体"/>
          <w:sz w:val="28"/>
          <w:szCs w:val="28"/>
        </w:rPr>
        <w:t>表5-3  投标函</w:t>
      </w:r>
      <w:bookmarkEnd w:id="62"/>
    </w:p>
    <w:p>
      <w:pPr>
        <w:spacing w:before="120" w:beforeLines="50" w:after="120" w:afterLines="50" w:line="480" w:lineRule="exact"/>
        <w:rPr>
          <w:rFonts w:hint="eastAsia" w:ascii="宋体" w:hAnsi="宋体" w:eastAsia="宋体" w:cs="宋体"/>
          <w:lang w:eastAsia="zh-CN"/>
        </w:rPr>
      </w:pPr>
      <w:r>
        <w:rPr>
          <w:rFonts w:hint="eastAsia" w:ascii="宋体" w:hAnsi="宋体" w:cs="宋体"/>
        </w:rPr>
        <w:t>致：</w:t>
      </w:r>
      <w:r>
        <w:rPr>
          <w:rFonts w:hint="eastAsia" w:ascii="宋体" w:hAnsi="宋体" w:cs="宋体"/>
          <w:lang w:eastAsia="zh-CN"/>
        </w:rPr>
        <w:t>广东钧信建设管理有限公司中山分公司</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rPr>
      </w:pPr>
      <w:r>
        <w:rPr>
          <w:rFonts w:hint="eastAsia" w:ascii="宋体" w:hAnsi="宋体" w:cs="宋体"/>
        </w:rPr>
        <w:t>根据贵方的</w:t>
      </w:r>
      <w:r>
        <w:rPr>
          <w:rFonts w:hint="eastAsia" w:ascii="宋体" w:hAnsi="宋体" w:cs="宋体"/>
          <w:szCs w:val="21"/>
          <w:u w:val="single"/>
          <w:lang w:eastAsia="zh-CN"/>
        </w:rPr>
        <w:t>中山市坦洲镇污水处理有限公司消毒剂采购项目</w:t>
      </w:r>
      <w:r>
        <w:rPr>
          <w:rFonts w:hint="eastAsia" w:ascii="宋体" w:hAnsi="宋体" w:cs="宋体"/>
        </w:rPr>
        <w:t>的投标邀请函(项目编号：</w:t>
      </w:r>
      <w:r>
        <w:rPr>
          <w:rFonts w:hint="eastAsia" w:ascii="宋体" w:hAnsi="宋体" w:cs="宋体"/>
          <w:szCs w:val="21"/>
          <w:u w:val="single"/>
          <w:lang w:eastAsia="zh-CN"/>
        </w:rPr>
        <w:t>GDJX202004GK103</w:t>
      </w:r>
      <w:r>
        <w:rPr>
          <w:rFonts w:hint="eastAsia" w:ascii="宋体" w:hAnsi="宋体" w:cs="宋体"/>
        </w:rPr>
        <w:t xml:space="preserve">)，签名代表  </w:t>
      </w:r>
      <w:r>
        <w:rPr>
          <w:rFonts w:hint="eastAsia" w:ascii="宋体" w:hAnsi="宋体" w:cs="宋体"/>
          <w:u w:val="single"/>
        </w:rPr>
        <w:t xml:space="preserve">       （姓名、职务）        </w:t>
      </w:r>
      <w:r>
        <w:rPr>
          <w:rFonts w:hint="eastAsia" w:ascii="宋体" w:hAnsi="宋体" w:cs="宋体"/>
        </w:rPr>
        <w:t xml:space="preserve"> 代表投标人</w:t>
      </w:r>
      <w:r>
        <w:rPr>
          <w:rFonts w:hint="eastAsia" w:ascii="宋体" w:hAnsi="宋体" w:cs="宋体"/>
          <w:u w:val="single"/>
        </w:rPr>
        <w:t xml:space="preserve">  （投标人名称）    </w:t>
      </w:r>
      <w:r>
        <w:rPr>
          <w:rFonts w:hint="eastAsia" w:ascii="宋体" w:hAnsi="宋体" w:cs="宋体"/>
        </w:rPr>
        <w:t>参加投标，并提交投标文件。</w:t>
      </w:r>
    </w:p>
    <w:p>
      <w:pPr>
        <w:keepNext w:val="0"/>
        <w:keepLines w:val="0"/>
        <w:pageBreakBefore w:val="0"/>
        <w:widowControl/>
        <w:kinsoku/>
        <w:wordWrap/>
        <w:overflowPunct/>
        <w:topLinePunct w:val="0"/>
        <w:autoSpaceDE/>
        <w:autoSpaceDN/>
        <w:bidi w:val="0"/>
        <w:adjustRightInd/>
        <w:snapToGrid/>
        <w:spacing w:before="120" w:beforeLines="50" w:after="120" w:afterLines="50" w:line="400" w:lineRule="exact"/>
        <w:ind w:left="0" w:leftChars="0" w:right="0" w:rightChars="0" w:firstLine="420"/>
        <w:textAlignment w:val="auto"/>
        <w:outlineLvl w:val="9"/>
        <w:rPr>
          <w:rFonts w:hint="eastAsia" w:ascii="宋体" w:hAnsi="宋体" w:cs="宋体"/>
        </w:rPr>
      </w:pPr>
      <w:r>
        <w:rPr>
          <w:rFonts w:hint="eastAsia" w:ascii="宋体" w:hAnsi="宋体" w:cs="宋体"/>
        </w:rPr>
        <w:t>据此函，本人宣布同意如下：</w:t>
      </w:r>
    </w:p>
    <w:p>
      <w:pPr>
        <w:spacing w:line="480" w:lineRule="exact"/>
        <w:ind w:left="425"/>
        <w:rPr>
          <w:rFonts w:hint="eastAsia" w:ascii="宋体" w:hAnsi="宋体" w:cs="宋体"/>
        </w:rPr>
      </w:pPr>
      <w:r>
        <w:rPr>
          <w:rFonts w:hint="eastAsia" w:ascii="宋体" w:hAnsi="宋体" w:cs="宋体"/>
        </w:rPr>
        <w:t>1．所附“开标一览表” 规定的应提供和交付的全部货物投标总价为（人民币）：（大写）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w:t>
      </w:r>
    </w:p>
    <w:p>
      <w:pPr>
        <w:pStyle w:val="7"/>
        <w:widowControl/>
        <w:tabs>
          <w:tab w:val="left" w:pos="1260"/>
        </w:tabs>
        <w:adjustRightInd w:val="0"/>
        <w:spacing w:line="400" w:lineRule="exact"/>
        <w:ind w:left="735" w:leftChars="200" w:hanging="315" w:hangingChars="150"/>
        <w:jc w:val="left"/>
        <w:rPr>
          <w:rFonts w:hint="eastAsia" w:ascii="宋体" w:hAnsi="宋体" w:cs="宋体"/>
          <w:szCs w:val="21"/>
        </w:rPr>
      </w:pPr>
      <w:r>
        <w:rPr>
          <w:rFonts w:hint="eastAsia" w:ascii="宋体" w:hAnsi="宋体" w:cs="宋体"/>
        </w:rPr>
        <w:t>2．我方郑重承诺：除《商务条款偏离表》、《技术规格偏离表》中的差异外，投标人将全部满足招标文件中的各项实质性要求，如果发现投标文件中另有与招标文件中不一致的响应或没有响应，投标人同意采购人有权要求投标人按照招标文件的要求提供设备或服务。投标人并同意按照招标文件的规定履行合同责任和义务。</w:t>
      </w:r>
    </w:p>
    <w:p>
      <w:pPr>
        <w:spacing w:line="480" w:lineRule="exact"/>
        <w:ind w:left="742" w:leftChars="200" w:hanging="322"/>
        <w:rPr>
          <w:rFonts w:hint="eastAsia" w:ascii="宋体" w:hAnsi="宋体" w:cs="宋体"/>
        </w:rPr>
      </w:pPr>
      <w:r>
        <w:rPr>
          <w:rFonts w:hint="eastAsia" w:ascii="宋体" w:hAnsi="宋体" w:cs="宋体"/>
        </w:rPr>
        <w:t>3．我方已经详细地阅读了全部招标文件及其附件，包括澄清、修改文件（如果有）和所有已提供的参考资料以及有关附件，我方完全明白并认为此招标文件没有倾向性，也不存在排斥潜在投标人的内容，我方同意招标文件的相关条款，放弃对招标文件提出误解和质疑的一切权利。</w:t>
      </w:r>
    </w:p>
    <w:p>
      <w:pPr>
        <w:spacing w:line="480" w:lineRule="exact"/>
        <w:ind w:left="742" w:leftChars="200" w:hanging="322"/>
        <w:rPr>
          <w:rFonts w:hint="eastAsia" w:ascii="宋体" w:hAnsi="宋体" w:cs="宋体"/>
        </w:rPr>
      </w:pPr>
      <w:r>
        <w:rPr>
          <w:rFonts w:hint="eastAsia" w:ascii="宋体" w:hAnsi="宋体" w:cs="宋体"/>
        </w:rPr>
        <w:t>4．投标人的投标文件自投标截止之日起有效期为90天。乙方投标有效期则顺延至项目完成验收之日。</w:t>
      </w:r>
    </w:p>
    <w:p>
      <w:pPr>
        <w:spacing w:line="480" w:lineRule="exact"/>
        <w:ind w:firstLine="420"/>
        <w:rPr>
          <w:rFonts w:hint="eastAsia" w:ascii="宋体" w:hAnsi="宋体" w:cs="宋体"/>
        </w:rPr>
      </w:pPr>
      <w:r>
        <w:rPr>
          <w:rFonts w:hint="eastAsia" w:ascii="宋体" w:hAnsi="宋体" w:cs="宋体"/>
        </w:rPr>
        <w:t>5．如果在规定的开标时间后，投标人在投标有效期内撤回投标，其投标保证金将被贵方没收。</w:t>
      </w:r>
    </w:p>
    <w:p>
      <w:pPr>
        <w:spacing w:line="480" w:lineRule="exact"/>
        <w:ind w:left="742" w:leftChars="200" w:hanging="322"/>
        <w:rPr>
          <w:rFonts w:hint="eastAsia" w:ascii="宋体" w:hAnsi="宋体" w:cs="宋体"/>
        </w:rPr>
      </w:pPr>
      <w:r>
        <w:rPr>
          <w:rFonts w:hint="eastAsia" w:ascii="宋体" w:hAnsi="宋体" w:cs="宋体"/>
        </w:rPr>
        <w:t>6．投标人同意提供按照贵方可能要求的与我方投标有关的一切数据或资料，理解贵方不一定要接受最低价的投标或收到的任何投标。</w:t>
      </w:r>
    </w:p>
    <w:p>
      <w:pPr>
        <w:spacing w:line="480" w:lineRule="exact"/>
        <w:ind w:firstLine="420"/>
        <w:rPr>
          <w:rFonts w:hint="eastAsia" w:ascii="宋体" w:hAnsi="宋体" w:cs="宋体"/>
        </w:rPr>
      </w:pPr>
      <w:r>
        <w:rPr>
          <w:rFonts w:hint="eastAsia" w:ascii="宋体" w:hAnsi="宋体" w:cs="宋体"/>
        </w:rPr>
        <w:t>7．与本投标有关的一切正式往来通讯请寄：</w:t>
      </w:r>
    </w:p>
    <w:p>
      <w:pPr>
        <w:spacing w:line="480" w:lineRule="exact"/>
        <w:ind w:firstLine="420"/>
        <w:rPr>
          <w:rFonts w:hint="eastAsia" w:ascii="宋体" w:hAnsi="宋体" w:cs="宋体"/>
        </w:rPr>
      </w:pPr>
      <w:r>
        <w:rPr>
          <w:rFonts w:hint="eastAsia" w:ascii="宋体" w:hAnsi="宋体" w:cs="宋体"/>
        </w:rPr>
        <w:t>地址：</w:t>
      </w:r>
      <w:r>
        <w:rPr>
          <w:rFonts w:hint="eastAsia" w:ascii="宋体" w:hAnsi="宋体" w:cs="宋体"/>
        </w:rPr>
        <w:tab/>
      </w:r>
      <w:r>
        <w:rPr>
          <w:rFonts w:hint="eastAsia" w:ascii="宋体" w:hAnsi="宋体" w:cs="宋体"/>
        </w:rPr>
        <w:t xml:space="preserve">           </w:t>
      </w:r>
      <w:r>
        <w:rPr>
          <w:rFonts w:hint="eastAsia" w:ascii="宋体" w:hAnsi="宋体" w:cs="宋体"/>
        </w:rPr>
        <w:tab/>
      </w:r>
      <w:r>
        <w:rPr>
          <w:rFonts w:hint="eastAsia" w:ascii="宋体" w:hAnsi="宋体" w:cs="宋体"/>
        </w:rPr>
        <w:tab/>
      </w:r>
      <w:r>
        <w:rPr>
          <w:rFonts w:hint="eastAsia" w:ascii="宋体" w:hAnsi="宋体" w:cs="宋体"/>
        </w:rPr>
        <w:t xml:space="preserve">             邮编：</w:t>
      </w:r>
    </w:p>
    <w:p>
      <w:pPr>
        <w:spacing w:line="480" w:lineRule="exact"/>
        <w:ind w:firstLine="420"/>
        <w:rPr>
          <w:rFonts w:hint="eastAsia" w:ascii="宋体" w:hAnsi="宋体" w:cs="宋体"/>
        </w:rPr>
      </w:pPr>
      <w:r>
        <w:rPr>
          <w:rFonts w:hint="eastAsia" w:ascii="宋体" w:hAnsi="宋体" w:cs="宋体"/>
        </w:rPr>
        <w:t>电话：</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 xml:space="preserve">      传真：</w:t>
      </w:r>
    </w:p>
    <w:p>
      <w:pPr>
        <w:spacing w:line="480" w:lineRule="exact"/>
        <w:ind w:firstLine="420"/>
        <w:rPr>
          <w:rFonts w:hint="eastAsia" w:ascii="宋体" w:hAnsi="宋体" w:cs="宋体"/>
          <w:lang w:val="en-US" w:eastAsia="zh-CN"/>
        </w:rPr>
      </w:pPr>
      <w:r>
        <w:rPr>
          <w:rFonts w:hint="eastAsia" w:ascii="宋体" w:hAnsi="宋体" w:cs="宋体"/>
        </w:rPr>
        <w:t>投标人代表姓名、职务：</w:t>
      </w:r>
      <w:r>
        <w:rPr>
          <w:rFonts w:hint="eastAsia" w:ascii="宋体" w:hAnsi="宋体" w:cs="宋体"/>
          <w:lang w:val="en-US" w:eastAsia="zh-CN"/>
        </w:rPr>
        <w:t xml:space="preserve">                 </w:t>
      </w:r>
    </w:p>
    <w:p>
      <w:pPr>
        <w:spacing w:line="480" w:lineRule="exact"/>
        <w:ind w:firstLine="420"/>
        <w:rPr>
          <w:rFonts w:hint="eastAsia" w:ascii="宋体" w:hAnsi="宋体" w:cs="宋体"/>
        </w:rPr>
      </w:pPr>
      <w:r>
        <w:rPr>
          <w:rFonts w:hint="eastAsia" w:ascii="宋体" w:hAnsi="宋体" w:cs="宋体"/>
        </w:rPr>
        <w:t>投标人名称：（加盖公章）</w:t>
      </w:r>
    </w:p>
    <w:p>
      <w:pPr>
        <w:spacing w:line="480" w:lineRule="exact"/>
        <w:ind w:firstLine="420" w:firstLineChars="200"/>
        <w:rPr>
          <w:rFonts w:hint="eastAsia" w:ascii="宋体" w:hAnsi="宋体" w:cs="宋体"/>
        </w:rPr>
      </w:pPr>
      <w:r>
        <w:rPr>
          <w:rFonts w:hint="eastAsia" w:ascii="宋体" w:hAnsi="宋体" w:cs="宋体"/>
        </w:rPr>
        <w:t xml:space="preserve">法定代表人签名或盖章（或其委托的全权代表人）：                 </w:t>
      </w:r>
      <w:r>
        <w:rPr>
          <w:rFonts w:hint="eastAsia" w:ascii="宋体" w:hAnsi="宋体" w:cs="宋体"/>
          <w:lang w:val="en-US" w:eastAsia="zh-CN"/>
        </w:rPr>
        <w:t xml:space="preserve"> </w:t>
      </w:r>
      <w:r>
        <w:rPr>
          <w:rFonts w:hint="eastAsia" w:ascii="宋体" w:hAnsi="宋体" w:cs="宋体"/>
        </w:rPr>
        <w:t>年   月    日</w:t>
      </w:r>
    </w:p>
    <w:p>
      <w:pPr>
        <w:spacing w:line="480" w:lineRule="exact"/>
        <w:ind w:firstLine="420" w:firstLineChars="200"/>
        <w:rPr>
          <w:rFonts w:hint="eastAsia" w:ascii="宋体" w:hAnsi="宋体" w:cs="宋体"/>
        </w:rPr>
      </w:pPr>
      <w:r>
        <w:rPr>
          <w:rFonts w:hint="eastAsia" w:ascii="宋体" w:hAnsi="宋体" w:cs="宋体"/>
        </w:rPr>
        <w:t>注：法定代表人委托全权代表人，需附法定代表人授权书。</w:t>
      </w:r>
    </w:p>
    <w:p>
      <w:pPr>
        <w:spacing w:line="360" w:lineRule="auto"/>
        <w:ind w:firstLine="420" w:firstLineChars="200"/>
        <w:rPr>
          <w:rFonts w:hint="eastAsia" w:ascii="宋体" w:hAnsi="宋体" w:cs="宋体"/>
        </w:rPr>
      </w:pPr>
    </w:p>
    <w:p>
      <w:pPr>
        <w:rPr>
          <w:rFonts w:hint="eastAsia" w:ascii="宋体" w:hAnsi="宋体" w:cs="宋体"/>
          <w:sz w:val="28"/>
          <w:szCs w:val="28"/>
        </w:rPr>
      </w:pPr>
      <w:r>
        <w:rPr>
          <w:rFonts w:hint="eastAsia" w:ascii="宋体" w:hAnsi="宋体" w:cs="宋体"/>
          <w:sz w:val="28"/>
          <w:szCs w:val="28"/>
        </w:rPr>
        <w:t>表5-4  法定代表人证明书/法定代表人授权书</w:t>
      </w:r>
      <w:bookmarkEnd w:id="63"/>
      <w:bookmarkEnd w:id="64"/>
      <w:bookmarkEnd w:id="65"/>
    </w:p>
    <w:p>
      <w:pPr>
        <w:pStyle w:val="23"/>
        <w:rPr>
          <w:rFonts w:hint="eastAsia" w:hAnsi="宋体" w:cs="宋体"/>
        </w:rPr>
      </w:pPr>
    </w:p>
    <w:p>
      <w:pPr>
        <w:spacing w:line="360" w:lineRule="auto"/>
        <w:ind w:firstLine="422" w:firstLineChars="200"/>
        <w:rPr>
          <w:rFonts w:hint="eastAsia" w:ascii="宋体" w:hAnsi="宋体" w:cs="宋体"/>
          <w:b/>
          <w:bCs/>
        </w:rPr>
      </w:pPr>
      <w:r>
        <w:rPr>
          <w:rFonts w:hint="eastAsia" w:ascii="宋体" w:hAnsi="宋体" w:cs="宋体"/>
          <w:b/>
          <w:bCs/>
        </w:rPr>
        <w:t>法定代表人证明书和法定代表人授权书按以下格式填写，如由法定代表人投标并签署投标文件，需提供法定代表人证明书，否则需提供法定代表人证明书和法定代表人授权书。</w:t>
      </w:r>
    </w:p>
    <w:p>
      <w:pPr>
        <w:pStyle w:val="7"/>
        <w:rPr>
          <w:rFonts w:hint="eastAsia" w:ascii="宋体" w:hAnsi="宋体" w:cs="宋体"/>
          <w:b/>
        </w:rPr>
      </w:pPr>
    </w:p>
    <w:p>
      <w:pPr>
        <w:spacing w:after="240" w:afterLines="100" w:line="500" w:lineRule="exact"/>
        <w:jc w:val="center"/>
        <w:rPr>
          <w:rFonts w:hint="eastAsia" w:ascii="宋体" w:hAnsi="宋体" w:cs="宋体"/>
          <w:b/>
          <w:bCs/>
          <w:sz w:val="28"/>
          <w:szCs w:val="28"/>
        </w:rPr>
      </w:pPr>
      <w:r>
        <w:rPr>
          <w:rFonts w:hint="eastAsia" w:ascii="宋体" w:hAnsi="宋体" w:cs="宋体"/>
          <w:b/>
          <w:bCs/>
          <w:sz w:val="28"/>
          <w:szCs w:val="28"/>
        </w:rPr>
        <w:t>法定代表人证明书</w:t>
      </w:r>
    </w:p>
    <w:p>
      <w:pPr>
        <w:spacing w:line="440" w:lineRule="exact"/>
        <w:ind w:firstLine="472" w:firstLineChars="225"/>
        <w:rPr>
          <w:rFonts w:hint="eastAsia" w:ascii="宋体" w:hAnsi="宋体" w:cs="宋体"/>
          <w:szCs w:val="21"/>
          <w:lang w:val="zh-CN"/>
        </w:rPr>
      </w:pPr>
      <w:r>
        <w:rPr>
          <w:rFonts w:hint="eastAsia" w:ascii="宋体" w:hAnsi="宋体" w:cs="宋体"/>
          <w:szCs w:val="21"/>
          <w:u w:val="single"/>
          <w:lang w:val="zh-CN"/>
        </w:rPr>
        <w:t xml:space="preserve">    　　 　  </w:t>
      </w:r>
      <w:r>
        <w:rPr>
          <w:rFonts w:hint="eastAsia" w:ascii="宋体" w:hAnsi="宋体" w:cs="宋体"/>
          <w:szCs w:val="21"/>
          <w:lang w:val="zh-CN"/>
        </w:rPr>
        <w:t>同志现任我单位</w:t>
      </w:r>
      <w:r>
        <w:rPr>
          <w:rFonts w:hint="eastAsia" w:ascii="宋体" w:hAnsi="宋体" w:cs="宋体"/>
          <w:szCs w:val="21"/>
          <w:u w:val="single"/>
          <w:lang w:val="zh-CN"/>
        </w:rPr>
        <w:t xml:space="preserve">             </w:t>
      </w:r>
      <w:r>
        <w:rPr>
          <w:rFonts w:hint="eastAsia" w:ascii="宋体" w:hAnsi="宋体" w:cs="宋体"/>
          <w:szCs w:val="21"/>
          <w:lang w:val="zh-CN"/>
        </w:rPr>
        <w:t>职务，为法定代表人，特此证明。</w:t>
      </w:r>
    </w:p>
    <w:p>
      <w:pPr>
        <w:spacing w:line="440" w:lineRule="exact"/>
        <w:ind w:firstLine="472" w:firstLineChars="225"/>
        <w:rPr>
          <w:rFonts w:hint="eastAsia" w:ascii="宋体" w:hAnsi="宋体" w:cs="宋体"/>
          <w:szCs w:val="21"/>
          <w:lang w:val="zh-CN"/>
        </w:rPr>
      </w:pP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附：法定代表人性别：      年龄：      身份证号码：</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营业执照号码：</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主营：</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兼营：</w:t>
      </w:r>
    </w:p>
    <w:p>
      <w:pPr>
        <w:spacing w:line="440" w:lineRule="exact"/>
        <w:ind w:firstLine="472" w:firstLineChars="225"/>
        <w:rPr>
          <w:rFonts w:hint="eastAsia" w:ascii="宋体" w:hAnsi="宋体" w:cs="宋体"/>
          <w:szCs w:val="21"/>
          <w:lang w:val="zh-CN"/>
        </w:rPr>
      </w:pPr>
      <w:r>
        <w:rPr>
          <w:rFonts w:hint="eastAsia" w:ascii="宋体" w:hAnsi="宋体" w:cs="宋体"/>
          <w:szCs w:val="21"/>
          <w:lang w:val="zh-CN"/>
        </w:rPr>
        <w:t>有效日期：           签发日期：           单位：（盖章）</w:t>
      </w:r>
    </w:p>
    <w:p>
      <w:pPr>
        <w:spacing w:line="440" w:lineRule="exact"/>
        <w:ind w:firstLine="472" w:firstLineChars="225"/>
        <w:rPr>
          <w:rFonts w:hint="eastAsia" w:ascii="宋体" w:hAnsi="宋体" w:cs="宋体"/>
          <w:szCs w:val="21"/>
          <w:lang w:val="zh-CN"/>
        </w:rPr>
      </w:pPr>
    </w:p>
    <w:p>
      <w:pPr>
        <w:tabs>
          <w:tab w:val="left" w:pos="540"/>
        </w:tabs>
        <w:spacing w:line="380" w:lineRule="exact"/>
        <w:rPr>
          <w:rFonts w:hint="eastAsia" w:ascii="宋体" w:hAnsi="宋体" w:cs="宋体"/>
          <w:szCs w:val="21"/>
          <w:lang w:val="zh-CN"/>
        </w:rPr>
      </w:pPr>
      <w:r>
        <w:rPr>
          <w:rFonts w:hint="eastAsia" w:ascii="宋体" w:hAnsi="宋体" w:cs="宋体"/>
          <w:szCs w:val="21"/>
          <w:lang w:val="zh-CN"/>
        </w:rPr>
        <w:t>说明：1、法定代表人为企业事业单位、国家机关、社会团体的主要行政负责人。</w:t>
      </w:r>
    </w:p>
    <w:p>
      <w:pPr>
        <w:tabs>
          <w:tab w:val="left" w:pos="540"/>
        </w:tabs>
        <w:spacing w:line="380" w:lineRule="exact"/>
        <w:ind w:left="987" w:leftChars="300" w:hanging="357" w:hangingChars="170"/>
        <w:rPr>
          <w:rFonts w:hint="eastAsia" w:ascii="宋体" w:hAnsi="宋体" w:cs="宋体"/>
          <w:szCs w:val="21"/>
          <w:lang w:val="zh-CN"/>
        </w:rPr>
      </w:pPr>
      <w:r>
        <w:rPr>
          <w:rFonts w:hint="eastAsia" w:ascii="宋体" w:hAnsi="宋体" w:cs="宋体"/>
          <w:szCs w:val="21"/>
          <w:lang w:val="zh-CN"/>
        </w:rPr>
        <w:t>2、内容必须填写真实、清楚，不得转让、买卖。</w:t>
      </w:r>
    </w:p>
    <w:p>
      <w:pPr>
        <w:spacing w:line="380" w:lineRule="exact"/>
        <w:ind w:left="420" w:leftChars="200" w:firstLine="210" w:firstLineChars="100"/>
        <w:rPr>
          <w:rFonts w:hint="eastAsia" w:ascii="宋体" w:hAnsi="宋体" w:cs="宋体"/>
          <w:szCs w:val="21"/>
        </w:rPr>
      </w:pPr>
      <w:r>
        <w:rPr>
          <w:rFonts w:hint="eastAsia" w:ascii="宋体" w:hAnsi="宋体" w:cs="宋体"/>
          <w:szCs w:val="21"/>
          <w:lang w:val="zh-CN"/>
        </w:rPr>
        <w:t>3、将此证明书提交对方作为合同附件或凭证。</w:t>
      </w: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tbl>
      <w:tblPr>
        <w:tblStyle w:val="47"/>
        <w:tblW w:w="5760" w:type="dxa"/>
        <w:tblInd w:w="1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760" w:type="dxa"/>
            <w:vAlign w:val="top"/>
          </w:tcPr>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1785" w:firstLineChars="850"/>
              <w:rPr>
                <w:rFonts w:hint="eastAsia" w:ascii="宋体" w:hAnsi="宋体" w:cs="宋体"/>
                <w:szCs w:val="21"/>
                <w:lang w:val="zh-CN"/>
              </w:rPr>
            </w:pPr>
            <w:r>
              <w:rPr>
                <w:rFonts w:hint="eastAsia" w:ascii="宋体" w:hAnsi="宋体" w:cs="宋体"/>
                <w:szCs w:val="21"/>
                <w:lang w:val="zh-CN"/>
              </w:rPr>
              <w:t>法定代表人身份证复印件</w:t>
            </w: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rPr>
                <w:rFonts w:hint="eastAsia" w:ascii="宋体" w:hAnsi="宋体" w:cs="宋体"/>
                <w:szCs w:val="21"/>
                <w:lang w:val="zh-CN"/>
              </w:rPr>
            </w:pPr>
            <w:r>
              <w:rPr>
                <w:rFonts w:hint="eastAsia" w:ascii="宋体" w:hAnsi="宋体" w:cs="宋体"/>
                <w:szCs w:val="21"/>
                <w:lang w:val="zh-CN"/>
              </w:rPr>
              <w:t xml:space="preserve">       </w:t>
            </w:r>
          </w:p>
        </w:tc>
      </w:tr>
    </w:tbl>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spacing w:line="500" w:lineRule="exact"/>
        <w:ind w:left="420" w:leftChars="200"/>
        <w:rPr>
          <w:rFonts w:hint="eastAsia" w:ascii="宋体" w:hAnsi="宋体" w:cs="宋体"/>
          <w:sz w:val="24"/>
        </w:rPr>
      </w:pPr>
    </w:p>
    <w:p>
      <w:pPr>
        <w:pStyle w:val="7"/>
        <w:ind w:left="0" w:leftChars="0" w:firstLine="0" w:firstLineChars="0"/>
        <w:jc w:val="center"/>
        <w:rPr>
          <w:rFonts w:hint="eastAsia" w:ascii="宋体" w:hAnsi="宋体" w:cs="宋体"/>
          <w:b/>
        </w:rPr>
      </w:pPr>
      <w:r>
        <w:rPr>
          <w:rFonts w:hint="eastAsia" w:ascii="宋体" w:hAnsi="宋体" w:cs="宋体"/>
          <w:b/>
          <w:sz w:val="30"/>
        </w:rPr>
        <w:t>法定代表人授权书</w:t>
      </w:r>
    </w:p>
    <w:p>
      <w:pPr>
        <w:pStyle w:val="23"/>
        <w:spacing w:line="600" w:lineRule="exact"/>
        <w:rPr>
          <w:rFonts w:hint="eastAsia" w:hAnsi="宋体" w:cs="宋体"/>
          <w:bCs/>
        </w:rPr>
      </w:pPr>
    </w:p>
    <w:p>
      <w:pPr>
        <w:pStyle w:val="23"/>
        <w:spacing w:line="600" w:lineRule="exact"/>
        <w:rPr>
          <w:rFonts w:hint="eastAsia" w:hAnsi="宋体" w:eastAsia="宋体" w:cs="宋体"/>
          <w:b/>
          <w:bCs/>
          <w:lang w:eastAsia="zh-CN"/>
        </w:rPr>
      </w:pPr>
      <w:r>
        <w:rPr>
          <w:rFonts w:hint="eastAsia" w:hAnsi="宋体" w:cs="宋体"/>
          <w:b/>
          <w:bCs/>
        </w:rPr>
        <w:t xml:space="preserve">致: </w:t>
      </w:r>
      <w:r>
        <w:rPr>
          <w:rFonts w:hint="eastAsia" w:hAnsi="宋体" w:cs="宋体"/>
          <w:b/>
          <w:bCs/>
          <w:sz w:val="21"/>
          <w:szCs w:val="22"/>
          <w:lang w:eastAsia="zh-CN"/>
        </w:rPr>
        <w:t>广东钧信建设管理有限公司中山分公司</w:t>
      </w:r>
    </w:p>
    <w:p>
      <w:pPr>
        <w:pStyle w:val="23"/>
        <w:spacing w:line="600" w:lineRule="exact"/>
        <w:ind w:firstLine="420" w:firstLineChars="200"/>
        <w:rPr>
          <w:rFonts w:hint="eastAsia" w:hAnsi="宋体" w:cs="宋体"/>
        </w:rPr>
      </w:pPr>
      <w:r>
        <w:rPr>
          <w:rFonts w:hint="eastAsia" w:hAnsi="宋体" w:cs="宋体"/>
        </w:rPr>
        <w:t>本授权书声明：</w:t>
      </w:r>
      <w:r>
        <w:rPr>
          <w:rFonts w:hint="eastAsia" w:hAnsi="宋体" w:cs="宋体"/>
          <w:u w:val="single"/>
        </w:rPr>
        <w:t xml:space="preserve">                        </w:t>
      </w:r>
      <w:r>
        <w:rPr>
          <w:rFonts w:hint="eastAsia" w:hAnsi="宋体" w:cs="宋体"/>
        </w:rPr>
        <w:t xml:space="preserve">（投标人名称）的在下面签字的 </w:t>
      </w:r>
      <w:r>
        <w:rPr>
          <w:rFonts w:hint="eastAsia" w:hAnsi="宋体" w:cs="宋体"/>
          <w:u w:val="single"/>
        </w:rPr>
        <w:t xml:space="preserve">                                </w:t>
      </w:r>
      <w:r>
        <w:rPr>
          <w:rFonts w:hint="eastAsia" w:hAnsi="宋体" w:cs="宋体"/>
        </w:rPr>
        <w:t>（法定代表人或负责人姓名、职务）代表本公司授权在下面签字的</w:t>
      </w:r>
      <w:r>
        <w:rPr>
          <w:rFonts w:hint="eastAsia" w:hAnsi="宋体" w:cs="宋体"/>
          <w:u w:val="single"/>
        </w:rPr>
        <w:t xml:space="preserve">                 </w:t>
      </w:r>
      <w:r>
        <w:rPr>
          <w:rFonts w:hint="eastAsia" w:hAnsi="宋体" w:cs="宋体"/>
        </w:rPr>
        <w:t>（被授权人的姓名、职务）为本公司的合法代表人，就</w:t>
      </w:r>
      <w:r>
        <w:rPr>
          <w:rFonts w:hint="eastAsia" w:hAnsi="宋体" w:cs="宋体"/>
          <w:lang w:eastAsia="zh-CN"/>
        </w:rPr>
        <w:t>广东钧信建设管理有限公司中山分公司</w:t>
      </w:r>
      <w:r>
        <w:rPr>
          <w:rFonts w:hint="eastAsia" w:hAnsi="宋体" w:cs="宋体"/>
        </w:rPr>
        <w:t>组织的</w:t>
      </w:r>
      <w:r>
        <w:rPr>
          <w:rFonts w:hint="eastAsia" w:hAnsi="宋体" w:cs="宋体"/>
          <w:szCs w:val="21"/>
          <w:u w:val="single"/>
          <w:lang w:eastAsia="zh-CN"/>
        </w:rPr>
        <w:t>中山市坦洲镇污水处理有限公司消毒剂采购项目</w:t>
      </w:r>
      <w:r>
        <w:rPr>
          <w:rFonts w:hint="eastAsia" w:ascii="宋体" w:hAnsi="宋体" w:cs="宋体"/>
        </w:rPr>
        <w:t>(项目编号：</w:t>
      </w:r>
      <w:r>
        <w:rPr>
          <w:rFonts w:hint="eastAsia" w:hAnsi="宋体" w:cs="宋体"/>
          <w:szCs w:val="21"/>
          <w:u w:val="single"/>
          <w:lang w:eastAsia="zh-CN"/>
        </w:rPr>
        <w:t>GDJX202004GK103</w:t>
      </w:r>
      <w:r>
        <w:rPr>
          <w:rFonts w:hint="eastAsia" w:ascii="宋体" w:hAnsi="宋体" w:cs="宋体"/>
        </w:rPr>
        <w:t>)</w:t>
      </w:r>
      <w:r>
        <w:rPr>
          <w:rFonts w:hint="eastAsia" w:hAnsi="宋体" w:cs="宋体"/>
        </w:rPr>
        <w:t>的投标和合同执行，以我方的名义处理一切与之有关的事宜。</w:t>
      </w:r>
    </w:p>
    <w:p>
      <w:pPr>
        <w:spacing w:line="600" w:lineRule="exact"/>
        <w:ind w:firstLine="420" w:firstLineChars="200"/>
        <w:rPr>
          <w:rFonts w:hint="eastAsia" w:ascii="宋体" w:hAnsi="宋体" w:cs="宋体"/>
          <w:szCs w:val="21"/>
        </w:rPr>
      </w:pPr>
      <w:r>
        <w:rPr>
          <w:rFonts w:hint="eastAsia" w:ascii="宋体" w:hAnsi="宋体" w:cs="宋体"/>
          <w:szCs w:val="21"/>
        </w:rPr>
        <w:t>本授权书于       年    月    日签字生效，有效期至      年    月    日。特此声明。</w:t>
      </w:r>
    </w:p>
    <w:p>
      <w:pPr>
        <w:tabs>
          <w:tab w:val="left" w:pos="3780"/>
        </w:tabs>
        <w:spacing w:line="600" w:lineRule="exact"/>
        <w:ind w:left="4410"/>
        <w:rPr>
          <w:rFonts w:hint="eastAsia" w:ascii="宋体" w:hAnsi="宋体" w:cs="宋体"/>
          <w:szCs w:val="21"/>
        </w:rPr>
      </w:pPr>
    </w:p>
    <w:p>
      <w:pPr>
        <w:tabs>
          <w:tab w:val="left" w:pos="3780"/>
        </w:tabs>
        <w:spacing w:line="600" w:lineRule="exact"/>
        <w:ind w:left="4410"/>
        <w:rPr>
          <w:rFonts w:hint="eastAsia" w:ascii="宋体" w:hAnsi="宋体" w:cs="宋体"/>
          <w:szCs w:val="21"/>
        </w:rPr>
      </w:pPr>
      <w:r>
        <w:rPr>
          <w:rFonts w:hint="eastAsia" w:ascii="宋体" w:hAnsi="宋体" w:cs="宋体"/>
          <w:szCs w:val="21"/>
        </w:rPr>
        <w:t>投标人名称（加盖公章）：</w:t>
      </w:r>
    </w:p>
    <w:p>
      <w:pPr>
        <w:tabs>
          <w:tab w:val="left" w:pos="3780"/>
        </w:tabs>
        <w:spacing w:line="600" w:lineRule="exact"/>
        <w:ind w:left="4410"/>
        <w:rPr>
          <w:rFonts w:hint="eastAsia" w:ascii="宋体" w:hAnsi="宋体" w:cs="宋体"/>
          <w:szCs w:val="21"/>
        </w:rPr>
      </w:pPr>
      <w:r>
        <w:rPr>
          <w:rFonts w:hint="eastAsia" w:ascii="宋体" w:hAnsi="宋体" w:cs="宋体"/>
          <w:szCs w:val="21"/>
        </w:rPr>
        <w:t>法定代表人</w:t>
      </w:r>
      <w:r>
        <w:rPr>
          <w:rFonts w:hint="eastAsia" w:ascii="宋体" w:hAnsi="宋体" w:cs="宋体"/>
        </w:rPr>
        <w:t>（负责人）</w:t>
      </w:r>
      <w:r>
        <w:rPr>
          <w:rFonts w:hint="eastAsia" w:ascii="宋体" w:hAnsi="宋体" w:cs="宋体"/>
          <w:szCs w:val="21"/>
        </w:rPr>
        <w:t>（签名或盖章）：</w:t>
      </w:r>
    </w:p>
    <w:p>
      <w:pPr>
        <w:spacing w:line="600" w:lineRule="exact"/>
        <w:ind w:left="4410"/>
        <w:rPr>
          <w:rFonts w:hint="eastAsia" w:ascii="宋体" w:hAnsi="宋体" w:cs="宋体"/>
          <w:szCs w:val="21"/>
        </w:rPr>
      </w:pPr>
      <w:r>
        <w:rPr>
          <w:rFonts w:hint="eastAsia" w:ascii="宋体" w:hAnsi="宋体" w:cs="宋体"/>
          <w:spacing w:val="20"/>
          <w:szCs w:val="21"/>
        </w:rPr>
        <w:t>被授权人（</w:t>
      </w:r>
      <w:r>
        <w:rPr>
          <w:rFonts w:hint="eastAsia" w:ascii="宋体" w:hAnsi="宋体" w:cs="宋体"/>
          <w:szCs w:val="21"/>
        </w:rPr>
        <w:t>签名或盖章</w:t>
      </w:r>
      <w:r>
        <w:rPr>
          <w:rFonts w:hint="eastAsia" w:ascii="宋体" w:hAnsi="宋体" w:cs="宋体"/>
          <w:spacing w:val="20"/>
          <w:szCs w:val="21"/>
        </w:rPr>
        <w:t>）</w:t>
      </w:r>
      <w:r>
        <w:rPr>
          <w:rFonts w:hint="eastAsia" w:ascii="宋体" w:hAnsi="宋体" w:cs="宋体"/>
          <w:szCs w:val="21"/>
        </w:rPr>
        <w:t>：</w:t>
      </w:r>
    </w:p>
    <w:p>
      <w:pPr>
        <w:tabs>
          <w:tab w:val="left" w:pos="2041"/>
          <w:tab w:val="left" w:pos="3600"/>
          <w:tab w:val="left" w:pos="3780"/>
        </w:tabs>
        <w:spacing w:line="600" w:lineRule="exact"/>
        <w:ind w:left="4410"/>
        <w:rPr>
          <w:rFonts w:hint="eastAsia" w:ascii="宋体" w:hAnsi="宋体" w:cs="宋体"/>
          <w:szCs w:val="21"/>
        </w:rPr>
      </w:pPr>
      <w:r>
        <w:rPr>
          <w:rFonts w:hint="eastAsia" w:ascii="宋体" w:hAnsi="宋体" w:cs="宋体"/>
          <w:szCs w:val="21"/>
        </w:rPr>
        <w:t>职    务：</w:t>
      </w:r>
    </w:p>
    <w:p>
      <w:pPr>
        <w:pStyle w:val="2"/>
        <w:rPr>
          <w:rFonts w:hint="eastAsia" w:ascii="宋体" w:hAnsi="宋体" w:cs="宋体"/>
          <w:szCs w:val="21"/>
        </w:rPr>
      </w:pPr>
    </w:p>
    <w:p>
      <w:pPr>
        <w:rPr>
          <w:rFonts w:hint="eastAsia" w:ascii="宋体" w:hAnsi="宋体" w:cs="宋体"/>
          <w:szCs w:val="21"/>
        </w:rPr>
      </w:pPr>
    </w:p>
    <w:p>
      <w:pPr>
        <w:pStyle w:val="2"/>
        <w:rPr>
          <w:rFonts w:hint="eastAsia"/>
        </w:rPr>
      </w:pPr>
    </w:p>
    <w:tbl>
      <w:tblPr>
        <w:tblStyle w:val="47"/>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5760" w:type="dxa"/>
            <w:vAlign w:val="top"/>
          </w:tcPr>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1799" w:firstLineChars="857"/>
              <w:rPr>
                <w:rFonts w:hint="eastAsia" w:ascii="宋体" w:hAnsi="宋体" w:cs="宋体"/>
                <w:szCs w:val="21"/>
                <w:lang w:val="zh-CN"/>
              </w:rPr>
            </w:pPr>
            <w:r>
              <w:rPr>
                <w:rFonts w:hint="eastAsia" w:ascii="宋体" w:hAnsi="宋体" w:cs="宋体"/>
                <w:szCs w:val="21"/>
                <w:lang w:val="zh-CN"/>
              </w:rPr>
              <w:t>被授权人身份证复印件</w:t>
            </w: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rPr>
                <w:rFonts w:hint="eastAsia" w:ascii="宋体" w:hAnsi="宋体" w:cs="宋体"/>
                <w:szCs w:val="21"/>
                <w:lang w:val="zh-CN"/>
              </w:rPr>
            </w:pPr>
            <w:r>
              <w:rPr>
                <w:rFonts w:hint="eastAsia" w:ascii="宋体" w:hAnsi="宋体" w:cs="宋体"/>
                <w:szCs w:val="21"/>
                <w:lang w:val="zh-CN"/>
              </w:rPr>
              <w:t xml:space="preserve">       </w:t>
            </w:r>
          </w:p>
        </w:tc>
      </w:tr>
    </w:tbl>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autoSpaceDE w:val="0"/>
        <w:autoSpaceDN w:val="0"/>
        <w:adjustRightInd w:val="0"/>
        <w:spacing w:line="360" w:lineRule="exact"/>
        <w:ind w:firstLine="644" w:firstLineChars="307"/>
        <w:rPr>
          <w:rFonts w:hint="eastAsia" w:ascii="宋体" w:hAnsi="宋体" w:cs="宋体"/>
          <w:szCs w:val="21"/>
          <w:lang w:val="zh-CN"/>
        </w:rPr>
      </w:pPr>
    </w:p>
    <w:p>
      <w:pPr>
        <w:tabs>
          <w:tab w:val="left" w:pos="2041"/>
          <w:tab w:val="left" w:pos="3600"/>
          <w:tab w:val="left" w:pos="3780"/>
        </w:tabs>
        <w:spacing w:line="600" w:lineRule="exact"/>
        <w:ind w:leftChars="-2100" w:hanging="4410" w:hangingChars="2100"/>
        <w:jc w:val="center"/>
        <w:rPr>
          <w:rFonts w:hint="eastAsia" w:ascii="宋体" w:hAnsi="宋体" w:cs="宋体"/>
          <w:szCs w:val="21"/>
        </w:rPr>
      </w:pPr>
    </w:p>
    <w:p>
      <w:pPr>
        <w:rPr>
          <w:rFonts w:hint="eastAsia" w:ascii="宋体" w:hAnsi="宋体" w:cs="宋体"/>
          <w:sz w:val="28"/>
          <w:szCs w:val="28"/>
        </w:rPr>
      </w:pPr>
      <w:bookmarkStart w:id="66" w:name="_Toc420684760"/>
      <w:bookmarkStart w:id="67" w:name="_Toc421205757"/>
      <w:bookmarkStart w:id="68" w:name="_Toc421004194"/>
      <w:r>
        <w:rPr>
          <w:rFonts w:hint="eastAsia" w:ascii="宋体" w:hAnsi="宋体" w:cs="宋体"/>
          <w:sz w:val="28"/>
          <w:szCs w:val="28"/>
        </w:rPr>
        <w:t>表5-5  商务条款偏离表</w:t>
      </w:r>
      <w:bookmarkEnd w:id="66"/>
      <w:bookmarkEnd w:id="67"/>
      <w:bookmarkEnd w:id="68"/>
    </w:p>
    <w:p>
      <w:pPr>
        <w:spacing w:line="500" w:lineRule="exact"/>
        <w:ind w:firstLine="210" w:firstLineChars="100"/>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47"/>
        <w:tblW w:w="910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2316"/>
        <w:gridCol w:w="231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jc w:val="center"/>
              <w:rPr>
                <w:rFonts w:hint="eastAsia" w:ascii="宋体" w:hAnsi="宋体" w:cs="宋体"/>
                <w:szCs w:val="21"/>
              </w:rPr>
            </w:pPr>
            <w:r>
              <w:rPr>
                <w:rFonts w:hint="eastAsia" w:ascii="宋体" w:hAnsi="宋体" w:cs="宋体"/>
                <w:szCs w:val="21"/>
              </w:rPr>
              <w:t>招标文件条目号</w:t>
            </w:r>
          </w:p>
        </w:tc>
        <w:tc>
          <w:tcPr>
            <w:tcW w:w="2316" w:type="dxa"/>
            <w:vAlign w:val="top"/>
          </w:tcPr>
          <w:p>
            <w:pPr>
              <w:spacing w:line="360" w:lineRule="auto"/>
              <w:jc w:val="center"/>
              <w:rPr>
                <w:rFonts w:hint="eastAsia" w:ascii="宋体" w:hAnsi="宋体" w:cs="宋体"/>
                <w:szCs w:val="21"/>
              </w:rPr>
            </w:pPr>
            <w:r>
              <w:rPr>
                <w:rFonts w:hint="eastAsia" w:ascii="宋体" w:hAnsi="宋体" w:cs="宋体"/>
                <w:szCs w:val="21"/>
              </w:rPr>
              <w:t>招标文件商务条款</w:t>
            </w:r>
          </w:p>
        </w:tc>
        <w:tc>
          <w:tcPr>
            <w:tcW w:w="2316" w:type="dxa"/>
            <w:vAlign w:val="top"/>
          </w:tcPr>
          <w:p>
            <w:pPr>
              <w:spacing w:line="360" w:lineRule="auto"/>
              <w:jc w:val="center"/>
              <w:rPr>
                <w:rFonts w:hint="eastAsia" w:ascii="宋体" w:hAnsi="宋体" w:cs="宋体"/>
                <w:szCs w:val="21"/>
              </w:rPr>
            </w:pPr>
            <w:r>
              <w:rPr>
                <w:rFonts w:hint="eastAsia" w:ascii="宋体" w:hAnsi="宋体" w:cs="宋体"/>
                <w:szCs w:val="21"/>
              </w:rPr>
              <w:t>投标文件商务条款</w:t>
            </w:r>
          </w:p>
        </w:tc>
        <w:tc>
          <w:tcPr>
            <w:tcW w:w="2009" w:type="dxa"/>
            <w:vAlign w:val="top"/>
          </w:tcPr>
          <w:p>
            <w:pPr>
              <w:spacing w:line="360" w:lineRule="auto"/>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vAlign w:val="top"/>
          </w:tcPr>
          <w:p>
            <w:pPr>
              <w:spacing w:line="360" w:lineRule="auto"/>
              <w:jc w:val="center"/>
              <w:rPr>
                <w:rFonts w:hint="eastAsia" w:ascii="宋体" w:hAnsi="宋体" w:cs="宋体"/>
                <w:szCs w:val="21"/>
              </w:rPr>
            </w:pPr>
            <w:r>
              <w:rPr>
                <w:rFonts w:hint="eastAsia" w:ascii="宋体" w:hAnsi="宋体" w:cs="宋体"/>
              </w:rPr>
              <w:t>……</w:t>
            </w:r>
          </w:p>
        </w:tc>
        <w:tc>
          <w:tcPr>
            <w:tcW w:w="2316" w:type="dxa"/>
            <w:vAlign w:val="top"/>
          </w:tcPr>
          <w:p>
            <w:pPr>
              <w:spacing w:line="360" w:lineRule="auto"/>
              <w:rPr>
                <w:rFonts w:hint="eastAsia" w:ascii="宋体" w:hAnsi="宋体" w:cs="宋体"/>
                <w:szCs w:val="21"/>
              </w:rPr>
            </w:pPr>
          </w:p>
        </w:tc>
        <w:tc>
          <w:tcPr>
            <w:tcW w:w="2316" w:type="dxa"/>
            <w:vAlign w:val="top"/>
          </w:tcPr>
          <w:p>
            <w:pPr>
              <w:spacing w:line="360" w:lineRule="auto"/>
              <w:rPr>
                <w:rFonts w:hint="eastAsia" w:ascii="宋体" w:hAnsi="宋体" w:cs="宋体"/>
                <w:szCs w:val="21"/>
              </w:rPr>
            </w:pPr>
          </w:p>
        </w:tc>
        <w:tc>
          <w:tcPr>
            <w:tcW w:w="2009" w:type="dxa"/>
            <w:vAlign w:val="top"/>
          </w:tcPr>
          <w:p>
            <w:pPr>
              <w:spacing w:line="360" w:lineRule="auto"/>
              <w:rPr>
                <w:rFonts w:hint="eastAsia" w:ascii="宋体" w:hAnsi="宋体" w:cs="宋体"/>
                <w:szCs w:val="21"/>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注：1、请在上表填写与招标文件要求有差异的内容，包括优于/差于/等于招标文件的要求；</w:t>
      </w:r>
    </w:p>
    <w:p>
      <w:pPr>
        <w:spacing w:line="360" w:lineRule="auto"/>
        <w:ind w:left="741" w:leftChars="200" w:hanging="321" w:hangingChars="153"/>
        <w:rPr>
          <w:rFonts w:hint="eastAsia" w:ascii="宋体" w:hAnsi="宋体" w:cs="宋体"/>
          <w:szCs w:val="21"/>
        </w:rPr>
      </w:pPr>
      <w:r>
        <w:rPr>
          <w:rFonts w:hint="eastAsia" w:ascii="宋体" w:hAnsi="宋体" w:cs="宋体"/>
          <w:szCs w:val="21"/>
        </w:rPr>
        <w:t>2、如果与招标文件完全没有差异，此表填写全部响应，此时将被视为完全响应招标文件中所给出的关于该项目的全部指标。</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5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500" w:lineRule="exact"/>
        <w:ind w:firstLine="4725" w:firstLineChars="2250"/>
        <w:rPr>
          <w:rFonts w:hint="eastAsia" w:ascii="宋体" w:hAnsi="宋体" w:cs="宋体"/>
          <w:szCs w:val="21"/>
        </w:rPr>
      </w:pPr>
      <w:r>
        <w:rPr>
          <w:rFonts w:hint="eastAsia" w:ascii="宋体" w:hAnsi="宋体" w:cs="宋体"/>
        </w:rPr>
        <w:t xml:space="preserve"> </w:t>
      </w:r>
    </w:p>
    <w:p>
      <w:pPr>
        <w:spacing w:line="360" w:lineRule="auto"/>
        <w:ind w:firstLine="3570" w:firstLineChars="1700"/>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rPr>
          <w:rFonts w:hint="eastAsia" w:ascii="宋体" w:hAnsi="宋体" w:cs="宋体"/>
        </w:rPr>
      </w:pPr>
      <w:bookmarkStart w:id="69" w:name="_Toc421205758"/>
      <w:bookmarkStart w:id="70" w:name="_Toc420684761"/>
      <w:bookmarkStart w:id="71" w:name="_Toc421004195"/>
      <w:r>
        <w:rPr>
          <w:rFonts w:hint="eastAsia" w:ascii="宋体" w:hAnsi="宋体" w:cs="宋体"/>
          <w:sz w:val="28"/>
          <w:szCs w:val="28"/>
        </w:rPr>
        <w:t>表5-6　重要指标响应表</w:t>
      </w:r>
      <w:bookmarkEnd w:id="69"/>
      <w:bookmarkEnd w:id="70"/>
      <w:bookmarkEnd w:id="71"/>
    </w:p>
    <w:p>
      <w:pPr>
        <w:pStyle w:val="7"/>
        <w:spacing w:line="360" w:lineRule="auto"/>
        <w:ind w:firstLine="0"/>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47"/>
        <w:tblW w:w="95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7"/>
        <w:gridCol w:w="958"/>
        <w:gridCol w:w="637"/>
        <w:gridCol w:w="3187"/>
        <w:gridCol w:w="286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9" w:hRule="atLeast"/>
        </w:trPr>
        <w:tc>
          <w:tcPr>
            <w:tcW w:w="63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szCs w:val="21"/>
              </w:rPr>
              <w:t>序号</w:t>
            </w:r>
          </w:p>
        </w:tc>
        <w:tc>
          <w:tcPr>
            <w:tcW w:w="958"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szCs w:val="21"/>
              </w:rPr>
              <w:t>招标文件页数</w:t>
            </w:r>
          </w:p>
        </w:tc>
        <w:tc>
          <w:tcPr>
            <w:tcW w:w="63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szCs w:val="21"/>
              </w:rPr>
            </w:pPr>
            <w:r>
              <w:rPr>
                <w:rFonts w:hint="eastAsia" w:ascii="宋体" w:hAnsi="宋体" w:cs="宋体"/>
                <w:b/>
                <w:bCs/>
                <w:szCs w:val="21"/>
              </w:rPr>
              <w:t>节/段</w:t>
            </w:r>
          </w:p>
        </w:tc>
        <w:tc>
          <w:tcPr>
            <w:tcW w:w="3187"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招标要求（内容提要）</w:t>
            </w:r>
          </w:p>
        </w:tc>
        <w:tc>
          <w:tcPr>
            <w:tcW w:w="2869"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投标人应答</w:t>
            </w:r>
          </w:p>
        </w:tc>
        <w:tc>
          <w:tcPr>
            <w:tcW w:w="1275"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3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958" w:type="dxa"/>
            <w:tcBorders>
              <w:top w:val="single" w:color="auto" w:sz="6" w:space="0"/>
            </w:tcBorders>
            <w:vAlign w:val="center"/>
          </w:tcPr>
          <w:p>
            <w:pPr>
              <w:spacing w:before="156" w:after="156" w:line="400" w:lineRule="exact"/>
              <w:rPr>
                <w:rFonts w:hint="eastAsia" w:ascii="宋体" w:hAnsi="宋体" w:cs="宋体"/>
              </w:rPr>
            </w:pPr>
          </w:p>
        </w:tc>
        <w:tc>
          <w:tcPr>
            <w:tcW w:w="63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tcBorders>
              <w:top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75" w:type="dxa"/>
            <w:tcBorders>
              <w:top w:val="single" w:color="auto" w:sz="6" w:space="0"/>
            </w:tcBorders>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4" w:hRule="atLeast"/>
        </w:trPr>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958" w:type="dxa"/>
            <w:vAlign w:val="center"/>
          </w:tcPr>
          <w:p>
            <w:pPr>
              <w:spacing w:before="156" w:after="156" w:line="400" w:lineRule="exact"/>
              <w:rPr>
                <w:rFonts w:hint="eastAsia" w:ascii="宋体" w:hAnsi="宋体" w:cs="宋体"/>
              </w:rPr>
            </w:pPr>
          </w:p>
        </w:tc>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4" w:hRule="atLeast"/>
        </w:trPr>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958" w:type="dxa"/>
            <w:vAlign w:val="center"/>
          </w:tcPr>
          <w:p>
            <w:pPr>
              <w:spacing w:before="156" w:after="156" w:line="400" w:lineRule="exact"/>
              <w:rPr>
                <w:rFonts w:hint="eastAsia" w:ascii="宋体" w:hAnsi="宋体" w:cs="宋体"/>
              </w:rPr>
            </w:pPr>
          </w:p>
        </w:tc>
        <w:tc>
          <w:tcPr>
            <w:tcW w:w="637" w:type="dxa"/>
            <w:vAlign w:val="center"/>
          </w:tcPr>
          <w:p>
            <w:pPr>
              <w:spacing w:before="156" w:after="156" w:line="400" w:lineRule="exact"/>
              <w:rPr>
                <w:rFonts w:hint="eastAsia" w:ascii="宋体" w:hAnsi="宋体" w:cs="宋体"/>
              </w:rPr>
            </w:pPr>
            <w:r>
              <w:rPr>
                <w:rFonts w:hint="eastAsia" w:ascii="宋体" w:hAnsi="宋体" w:cs="宋体"/>
              </w:rPr>
              <w:t> </w:t>
            </w:r>
          </w:p>
        </w:tc>
        <w:tc>
          <w:tcPr>
            <w:tcW w:w="3187" w:type="dxa"/>
            <w:vAlign w:val="center"/>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37" w:type="dxa"/>
            <w:vAlign w:val="top"/>
          </w:tcPr>
          <w:p>
            <w:pPr>
              <w:spacing w:before="156" w:after="156" w:line="400" w:lineRule="exact"/>
              <w:rPr>
                <w:rFonts w:hint="eastAsia" w:ascii="宋体" w:hAnsi="宋体" w:cs="宋体"/>
                <w:b/>
              </w:rPr>
            </w:pPr>
            <w:r>
              <w:rPr>
                <w:rFonts w:hint="eastAsia" w:ascii="宋体" w:hAnsi="宋体" w:cs="宋体"/>
                <w:b/>
              </w:rPr>
              <w:t> </w:t>
            </w:r>
          </w:p>
        </w:tc>
        <w:tc>
          <w:tcPr>
            <w:tcW w:w="958" w:type="dxa"/>
            <w:vAlign w:val="top"/>
          </w:tcPr>
          <w:p>
            <w:pPr>
              <w:spacing w:before="156" w:after="156" w:line="400" w:lineRule="exact"/>
              <w:rPr>
                <w:rFonts w:hint="eastAsia" w:ascii="宋体" w:hAnsi="宋体" w:cs="宋体"/>
                <w:b/>
              </w:rPr>
            </w:pPr>
          </w:p>
        </w:tc>
        <w:tc>
          <w:tcPr>
            <w:tcW w:w="637" w:type="dxa"/>
            <w:vAlign w:val="top"/>
          </w:tcPr>
          <w:p>
            <w:pPr>
              <w:spacing w:before="156" w:after="156" w:line="400" w:lineRule="exact"/>
              <w:rPr>
                <w:rFonts w:hint="eastAsia" w:ascii="宋体" w:hAnsi="宋体" w:cs="宋体"/>
                <w:b/>
              </w:rPr>
            </w:pPr>
            <w:r>
              <w:rPr>
                <w:rFonts w:hint="eastAsia" w:ascii="宋体" w:hAnsi="宋体" w:cs="宋体"/>
                <w:b/>
              </w:rPr>
              <w:t> </w:t>
            </w:r>
          </w:p>
        </w:tc>
        <w:tc>
          <w:tcPr>
            <w:tcW w:w="3187" w:type="dxa"/>
            <w:vAlign w:val="top"/>
          </w:tcPr>
          <w:p>
            <w:pPr>
              <w:spacing w:before="156" w:after="156" w:line="400" w:lineRule="exact"/>
              <w:rPr>
                <w:rFonts w:hint="eastAsia" w:ascii="宋体" w:hAnsi="宋体" w:cs="宋体"/>
                <w:b/>
              </w:rPr>
            </w:pPr>
            <w:r>
              <w:rPr>
                <w:rFonts w:hint="eastAsia" w:ascii="宋体" w:hAnsi="宋体" w:cs="宋体"/>
                <w:b/>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37" w:type="dxa"/>
            <w:vAlign w:val="top"/>
          </w:tcPr>
          <w:p>
            <w:pPr>
              <w:spacing w:before="156" w:after="156" w:line="400" w:lineRule="exact"/>
              <w:rPr>
                <w:rFonts w:hint="eastAsia" w:ascii="宋体" w:hAnsi="宋体" w:cs="宋体"/>
              </w:rPr>
            </w:pPr>
            <w:r>
              <w:rPr>
                <w:rFonts w:hint="eastAsia" w:ascii="宋体" w:hAnsi="宋体" w:cs="宋体"/>
              </w:rPr>
              <w:t> </w:t>
            </w:r>
          </w:p>
        </w:tc>
        <w:tc>
          <w:tcPr>
            <w:tcW w:w="958" w:type="dxa"/>
            <w:vAlign w:val="top"/>
          </w:tcPr>
          <w:p>
            <w:pPr>
              <w:spacing w:before="156" w:after="156" w:line="400" w:lineRule="exact"/>
              <w:rPr>
                <w:rFonts w:hint="eastAsia" w:ascii="宋体" w:hAnsi="宋体" w:cs="宋体"/>
              </w:rPr>
            </w:pPr>
          </w:p>
        </w:tc>
        <w:tc>
          <w:tcPr>
            <w:tcW w:w="637" w:type="dxa"/>
            <w:vAlign w:val="top"/>
          </w:tcPr>
          <w:p>
            <w:pPr>
              <w:spacing w:before="156" w:after="156" w:line="400" w:lineRule="exact"/>
              <w:rPr>
                <w:rFonts w:hint="eastAsia" w:ascii="宋体" w:hAnsi="宋体" w:cs="宋体"/>
              </w:rPr>
            </w:pPr>
            <w:r>
              <w:rPr>
                <w:rFonts w:hint="eastAsia" w:ascii="宋体" w:hAnsi="宋体" w:cs="宋体"/>
              </w:rPr>
              <w:t> </w:t>
            </w:r>
          </w:p>
        </w:tc>
        <w:tc>
          <w:tcPr>
            <w:tcW w:w="3187" w:type="dxa"/>
            <w:vAlign w:val="top"/>
          </w:tcPr>
          <w:p>
            <w:pPr>
              <w:spacing w:before="156" w:after="156" w:line="400" w:lineRule="exact"/>
              <w:rPr>
                <w:rFonts w:hint="eastAsia" w:ascii="宋体" w:hAnsi="宋体" w:cs="宋体"/>
              </w:rPr>
            </w:pPr>
            <w:r>
              <w:rPr>
                <w:rFonts w:hint="eastAsia" w:ascii="宋体" w:hAnsi="宋体" w:cs="宋体"/>
              </w:rPr>
              <w:t> </w:t>
            </w:r>
          </w:p>
        </w:tc>
        <w:tc>
          <w:tcPr>
            <w:tcW w:w="2869" w:type="dxa"/>
            <w:vAlign w:val="top"/>
          </w:tcPr>
          <w:p>
            <w:pPr>
              <w:spacing w:before="156" w:after="156" w:line="400" w:lineRule="exact"/>
              <w:rPr>
                <w:rFonts w:hint="eastAsia" w:ascii="宋体" w:hAnsi="宋体" w:cs="宋体"/>
              </w:rPr>
            </w:pPr>
            <w:r>
              <w:rPr>
                <w:rFonts w:hint="eastAsia" w:ascii="宋体" w:hAnsi="宋体" w:cs="宋体"/>
              </w:rPr>
              <w:t> </w:t>
            </w:r>
          </w:p>
        </w:tc>
        <w:tc>
          <w:tcPr>
            <w:tcW w:w="1275" w:type="dxa"/>
            <w:vAlign w:val="center"/>
          </w:tcPr>
          <w:p>
            <w:pPr>
              <w:spacing w:before="156" w:after="156" w:line="400" w:lineRule="exact"/>
              <w:rPr>
                <w:rFonts w:hint="eastAsia" w:ascii="宋体" w:hAnsi="宋体" w:cs="宋体"/>
              </w:rPr>
            </w:pPr>
            <w:r>
              <w:rPr>
                <w:rFonts w:hint="eastAsia" w:ascii="宋体" w:hAnsi="宋体" w:cs="宋体"/>
              </w:rPr>
              <w:t> </w:t>
            </w:r>
          </w:p>
        </w:tc>
      </w:tr>
    </w:tbl>
    <w:p>
      <w:pPr>
        <w:pStyle w:val="7"/>
        <w:spacing w:line="360" w:lineRule="auto"/>
        <w:rPr>
          <w:rFonts w:hint="eastAsia" w:ascii="宋体" w:hAnsi="宋体" w:cs="宋体"/>
        </w:rPr>
      </w:pPr>
    </w:p>
    <w:p>
      <w:pPr>
        <w:pStyle w:val="7"/>
        <w:spacing w:line="360" w:lineRule="auto"/>
        <w:rPr>
          <w:rFonts w:hint="eastAsia" w:ascii="宋体" w:hAnsi="宋体" w:cs="宋体"/>
          <w:b/>
          <w:bCs/>
        </w:rPr>
      </w:pPr>
      <w:r>
        <w:rPr>
          <w:rFonts w:hint="eastAsia" w:ascii="宋体" w:hAnsi="宋体" w:cs="宋体"/>
          <w:b/>
          <w:bCs/>
        </w:rPr>
        <w:t>注：如招标文件中标有“</w:t>
      </w:r>
      <w:r>
        <w:rPr>
          <w:rFonts w:hint="eastAsia" w:ascii="宋体" w:hAnsi="宋体" w:cs="宋体"/>
          <w:b/>
        </w:rPr>
        <w:t>★</w:t>
      </w:r>
      <w:r>
        <w:rPr>
          <w:rFonts w:hint="eastAsia" w:ascii="宋体" w:hAnsi="宋体" w:cs="宋体"/>
          <w:b/>
          <w:bCs/>
        </w:rPr>
        <w:t>” 、“重要指标” 或投标人认为重要的内容，请在上表填写。</w:t>
      </w:r>
    </w:p>
    <w:p>
      <w:pPr>
        <w:pStyle w:val="7"/>
        <w:spacing w:line="360" w:lineRule="auto"/>
        <w:rPr>
          <w:rFonts w:hint="eastAsia" w:ascii="宋体" w:hAnsi="宋体" w:cs="宋体"/>
        </w:rPr>
      </w:pPr>
    </w:p>
    <w:p>
      <w:pPr>
        <w:pStyle w:val="7"/>
        <w:spacing w:line="360" w:lineRule="auto"/>
        <w:rPr>
          <w:rFonts w:hint="eastAsia" w:ascii="宋体" w:hAnsi="宋体" w:cs="宋体"/>
        </w:rPr>
      </w:pPr>
      <w:r>
        <w:rPr>
          <w:rFonts w:hint="eastAsia" w:ascii="宋体" w:hAnsi="宋体" w:cs="宋体"/>
        </w:rPr>
        <w:t>（此表可延长）</w:t>
      </w: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pStyle w:val="7"/>
        <w:spacing w:line="360" w:lineRule="auto"/>
        <w:rPr>
          <w:rFonts w:hint="eastAsia" w:ascii="宋体" w:hAnsi="宋体" w:cs="宋体"/>
        </w:rPr>
      </w:pPr>
    </w:p>
    <w:p>
      <w:pPr>
        <w:rPr>
          <w:rFonts w:hint="eastAsia" w:ascii="宋体" w:hAnsi="宋体" w:cs="宋体"/>
          <w:sz w:val="28"/>
          <w:szCs w:val="28"/>
        </w:rPr>
      </w:pPr>
      <w:bookmarkStart w:id="72" w:name="_Toc420684762"/>
      <w:bookmarkStart w:id="73" w:name="_Toc421004196"/>
      <w:bookmarkStart w:id="74" w:name="_Toc421205759"/>
      <w:r>
        <w:rPr>
          <w:rFonts w:hint="eastAsia" w:ascii="宋体" w:hAnsi="宋体" w:cs="宋体"/>
          <w:sz w:val="28"/>
          <w:szCs w:val="28"/>
        </w:rPr>
        <w:t>表5-7  投标人基本情况表</w:t>
      </w:r>
      <w:bookmarkEnd w:id="72"/>
      <w:bookmarkEnd w:id="73"/>
      <w:bookmarkEnd w:id="74"/>
    </w:p>
    <w:p>
      <w:pPr>
        <w:widowControl/>
        <w:numPr>
          <w:ilvl w:val="0"/>
          <w:numId w:val="39"/>
        </w:numPr>
        <w:spacing w:before="120" w:after="120" w:line="360" w:lineRule="exact"/>
        <w:jc w:val="left"/>
        <w:rPr>
          <w:rFonts w:hint="eastAsia" w:ascii="宋体" w:hAnsi="宋体" w:cs="宋体"/>
        </w:rPr>
      </w:pPr>
      <w:r>
        <w:rPr>
          <w:rFonts w:hint="eastAsia" w:ascii="宋体" w:hAnsi="宋体" w:cs="宋体"/>
        </w:rPr>
        <w:t>公司基本情况</w:t>
      </w:r>
    </w:p>
    <w:p>
      <w:pPr>
        <w:spacing w:before="120" w:after="120" w:line="360" w:lineRule="exact"/>
        <w:rPr>
          <w:rFonts w:hint="eastAsia" w:ascii="宋体" w:hAnsi="宋体" w:cs="宋体"/>
          <w:u w:val="single"/>
        </w:rPr>
      </w:pPr>
      <w:r>
        <w:rPr>
          <w:rFonts w:hint="eastAsia" w:ascii="宋体" w:hAnsi="宋体" w:cs="宋体"/>
        </w:rPr>
        <w:t>1、公司名称：</w:t>
      </w:r>
      <w:r>
        <w:rPr>
          <w:rFonts w:hint="eastAsia" w:ascii="宋体" w:hAnsi="宋体" w:cs="宋体"/>
          <w:u w:val="single"/>
        </w:rPr>
        <w:t xml:space="preserve">                </w:t>
      </w:r>
      <w:r>
        <w:rPr>
          <w:rFonts w:hint="eastAsia" w:ascii="宋体" w:hAnsi="宋体" w:cs="宋体"/>
        </w:rPr>
        <w:t xml:space="preserve">               电话号码： </w:t>
      </w:r>
      <w:r>
        <w:rPr>
          <w:rFonts w:hint="eastAsia" w:ascii="宋体" w:hAnsi="宋体" w:cs="宋体"/>
          <w:u w:val="single"/>
        </w:rPr>
        <w:t>__________________</w:t>
      </w:r>
    </w:p>
    <w:p>
      <w:pPr>
        <w:spacing w:before="120" w:after="120" w:line="360" w:lineRule="exact"/>
        <w:rPr>
          <w:rFonts w:hint="eastAsia" w:ascii="宋体" w:hAnsi="宋体" w:cs="宋体"/>
        </w:rPr>
      </w:pPr>
      <w:r>
        <w:rPr>
          <w:rFonts w:hint="eastAsia" w:ascii="宋体" w:hAnsi="宋体" w:cs="宋体"/>
        </w:rPr>
        <w:t>2、地    址：</w:t>
      </w:r>
      <w:r>
        <w:rPr>
          <w:rFonts w:hint="eastAsia" w:ascii="宋体" w:hAnsi="宋体" w:cs="宋体"/>
          <w:u w:val="single"/>
        </w:rPr>
        <w:t xml:space="preserve">                </w:t>
      </w:r>
      <w:r>
        <w:rPr>
          <w:rFonts w:hint="eastAsia" w:ascii="宋体" w:hAnsi="宋体" w:cs="宋体"/>
        </w:rPr>
        <w:t xml:space="preserve">               传    真： </w:t>
      </w:r>
      <w:r>
        <w:rPr>
          <w:rFonts w:hint="eastAsia" w:ascii="宋体" w:hAnsi="宋体" w:cs="宋体"/>
          <w:u w:val="single"/>
        </w:rPr>
        <w:t xml:space="preserve"> _________________</w:t>
      </w:r>
    </w:p>
    <w:p>
      <w:pPr>
        <w:spacing w:before="120" w:after="120" w:line="360" w:lineRule="exact"/>
        <w:rPr>
          <w:rFonts w:hint="eastAsia" w:ascii="宋体" w:hAnsi="宋体" w:cs="宋体"/>
          <w:u w:val="single"/>
        </w:rPr>
      </w:pPr>
      <w:r>
        <w:rPr>
          <w:rFonts w:hint="eastAsia" w:ascii="宋体" w:hAnsi="宋体" w:cs="宋体"/>
        </w:rPr>
        <w:t>3、注册资金：</w:t>
      </w:r>
      <w:r>
        <w:rPr>
          <w:rFonts w:hint="eastAsia" w:ascii="宋体" w:hAnsi="宋体" w:cs="宋体"/>
          <w:u w:val="single"/>
        </w:rPr>
        <w:t xml:space="preserve">                </w:t>
      </w:r>
      <w:r>
        <w:rPr>
          <w:rFonts w:hint="eastAsia" w:ascii="宋体" w:hAnsi="宋体" w:cs="宋体"/>
        </w:rPr>
        <w:t xml:space="preserve">               企业类型：</w:t>
      </w:r>
      <w:r>
        <w:rPr>
          <w:rFonts w:hint="eastAsia" w:ascii="宋体" w:hAnsi="宋体" w:cs="宋体"/>
          <w:u w:val="single"/>
        </w:rPr>
        <w:t xml:space="preserve">  __________________</w:t>
      </w:r>
    </w:p>
    <w:p>
      <w:pPr>
        <w:spacing w:before="120" w:after="120" w:line="360" w:lineRule="exact"/>
        <w:rPr>
          <w:rFonts w:hint="eastAsia" w:ascii="宋体" w:hAnsi="宋体" w:cs="宋体"/>
        </w:rPr>
      </w:pPr>
      <w:r>
        <w:rPr>
          <w:rFonts w:hint="eastAsia" w:ascii="宋体" w:hAnsi="宋体" w:cs="宋体"/>
        </w:rPr>
        <w:t xml:space="preserve">   经营范围：</w:t>
      </w:r>
      <w:r>
        <w:rPr>
          <w:rFonts w:hint="eastAsia" w:ascii="宋体" w:hAnsi="宋体" w:cs="宋体"/>
          <w:u w:val="single"/>
        </w:rPr>
        <w:t xml:space="preserve">                                                             </w:t>
      </w:r>
      <w:r>
        <w:rPr>
          <w:rFonts w:hint="eastAsia" w:ascii="宋体" w:hAnsi="宋体" w:cs="宋体"/>
        </w:rPr>
        <w:t xml:space="preserve">  </w:t>
      </w:r>
    </w:p>
    <w:p>
      <w:pPr>
        <w:spacing w:before="120" w:after="120" w:line="360" w:lineRule="exact"/>
        <w:rPr>
          <w:rFonts w:hint="eastAsia" w:ascii="宋体" w:hAnsi="宋体" w:cs="宋体"/>
        </w:rPr>
      </w:pPr>
      <w:r>
        <w:rPr>
          <w:rFonts w:hint="eastAsia" w:ascii="宋体" w:hAnsi="宋体" w:cs="宋体"/>
        </w:rPr>
        <w:t xml:space="preserve">4、公司开户银行名称及账号：      </w:t>
      </w:r>
    </w:p>
    <w:p>
      <w:pPr>
        <w:spacing w:before="120" w:after="120" w:line="360" w:lineRule="exact"/>
        <w:ind w:firstLine="210" w:firstLineChars="100"/>
        <w:rPr>
          <w:rFonts w:hint="eastAsia" w:ascii="宋体" w:hAnsi="宋体" w:cs="宋体"/>
        </w:rPr>
      </w:pPr>
      <w:r>
        <w:rPr>
          <w:rFonts w:hint="eastAsia" w:ascii="宋体" w:hAnsi="宋体" w:cs="宋体"/>
        </w:rPr>
        <w:t>_______________________________________</w:t>
      </w:r>
    </w:p>
    <w:p>
      <w:pPr>
        <w:spacing w:before="120" w:after="120" w:line="360" w:lineRule="exact"/>
        <w:ind w:firstLine="210" w:firstLineChars="100"/>
        <w:rPr>
          <w:rFonts w:hint="eastAsia" w:ascii="宋体" w:hAnsi="宋体" w:cs="宋体"/>
        </w:rPr>
      </w:pPr>
      <w:r>
        <w:rPr>
          <w:rFonts w:hint="eastAsia" w:ascii="宋体" w:hAnsi="宋体" w:cs="宋体"/>
        </w:rPr>
        <w:t>地址：</w:t>
      </w:r>
    </w:p>
    <w:p>
      <w:pPr>
        <w:rPr>
          <w:rFonts w:hint="eastAsia" w:ascii="宋体" w:hAnsi="宋体" w:cs="宋体"/>
        </w:rPr>
      </w:pPr>
      <w:r>
        <w:rPr>
          <w:rFonts w:hint="eastAsia" w:ascii="宋体" w:hAnsi="宋体" w:cs="宋体"/>
        </w:rPr>
        <w:t xml:space="preserve">  _______________________________________</w:t>
      </w:r>
    </w:p>
    <w:p>
      <w:pPr>
        <w:spacing w:before="120" w:after="120" w:line="360" w:lineRule="exact"/>
        <w:ind w:firstLine="210" w:firstLineChars="100"/>
        <w:rPr>
          <w:rFonts w:hint="eastAsia" w:ascii="宋体" w:hAnsi="宋体" w:cs="宋体"/>
        </w:rPr>
      </w:pPr>
      <w:r>
        <w:rPr>
          <w:rFonts w:hint="eastAsia" w:ascii="宋体" w:hAnsi="宋体" w:cs="宋体"/>
        </w:rPr>
        <w:t>________________________________________</w:t>
      </w:r>
    </w:p>
    <w:p>
      <w:pPr>
        <w:tabs>
          <w:tab w:val="left" w:pos="420"/>
        </w:tabs>
        <w:spacing w:before="120" w:after="120" w:line="360" w:lineRule="exact"/>
        <w:ind w:left="420" w:hanging="420"/>
        <w:rPr>
          <w:rFonts w:hint="eastAsia" w:ascii="宋体" w:hAnsi="宋体" w:cs="宋体"/>
        </w:rPr>
      </w:pPr>
      <w:r>
        <w:rPr>
          <w:rFonts w:hint="eastAsia" w:ascii="宋体" w:hAnsi="宋体" w:cs="宋体"/>
        </w:rPr>
        <w:t xml:space="preserve">5、营业执照注册号：   </w:t>
      </w:r>
    </w:p>
    <w:p>
      <w:pPr>
        <w:spacing w:before="120" w:after="120" w:line="360" w:lineRule="exact"/>
        <w:rPr>
          <w:rFonts w:hint="eastAsia" w:ascii="宋体" w:hAnsi="宋体" w:cs="宋体"/>
          <w:b/>
          <w:bCs/>
        </w:rPr>
      </w:pPr>
      <w:r>
        <w:rPr>
          <w:rFonts w:hint="eastAsia" w:ascii="宋体" w:hAnsi="宋体" w:cs="宋体"/>
          <w:b/>
          <w:bCs/>
        </w:rPr>
        <w:t>（随本表格附交最新营业执照副本的复印件、税务登记证副本复印件、组织机构代码证复印件各一份（或三证合一证明）证明文件，均须加盖公章）</w:t>
      </w:r>
    </w:p>
    <w:p>
      <w:pPr>
        <w:widowControl/>
        <w:numPr>
          <w:ilvl w:val="0"/>
          <w:numId w:val="39"/>
        </w:numPr>
        <w:spacing w:before="120" w:after="120" w:line="360" w:lineRule="exact"/>
        <w:jc w:val="left"/>
        <w:rPr>
          <w:rFonts w:hint="eastAsia" w:ascii="宋体" w:hAnsi="宋体" w:cs="宋体"/>
        </w:rPr>
      </w:pPr>
      <w:r>
        <w:rPr>
          <w:rFonts w:hint="eastAsia" w:ascii="宋体" w:hAnsi="宋体" w:cs="宋体"/>
        </w:rPr>
        <w:t>公司简介</w:t>
      </w:r>
    </w:p>
    <w:p>
      <w:pPr>
        <w:spacing w:before="120" w:beforeLines="50" w:after="120" w:afterLines="50" w:line="360" w:lineRule="exact"/>
        <w:ind w:left="360"/>
        <w:rPr>
          <w:rFonts w:hint="eastAsia" w:ascii="宋体" w:hAnsi="宋体" w:cs="宋体"/>
        </w:rPr>
      </w:pPr>
      <w:r>
        <w:rPr>
          <w:rFonts w:hint="eastAsia" w:ascii="宋体" w:hAnsi="宋体" w:cs="宋体"/>
        </w:rPr>
        <w:t>（自行描述）</w:t>
      </w:r>
    </w:p>
    <w:p>
      <w:pPr>
        <w:spacing w:before="156" w:after="156" w:line="400" w:lineRule="exact"/>
        <w:rPr>
          <w:rFonts w:hint="eastAsia" w:ascii="宋体" w:hAnsi="宋体" w:cs="宋体"/>
        </w:rPr>
      </w:pPr>
      <w:r>
        <w:rPr>
          <w:rFonts w:hint="eastAsia" w:ascii="宋体" w:hAnsi="宋体" w:cs="宋体"/>
        </w:rPr>
        <w:t>三、公司财务情况：</w:t>
      </w:r>
    </w:p>
    <w:tbl>
      <w:tblPr>
        <w:tblStyle w:val="47"/>
        <w:tblW w:w="90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8"/>
        <w:gridCol w:w="2812"/>
        <w:gridCol w:w="2160"/>
        <w:gridCol w:w="24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88"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年份</w:t>
            </w:r>
          </w:p>
        </w:tc>
        <w:tc>
          <w:tcPr>
            <w:tcW w:w="2812"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年营业额</w:t>
            </w:r>
          </w:p>
        </w:tc>
        <w:tc>
          <w:tcPr>
            <w:tcW w:w="2160"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利润总额</w:t>
            </w:r>
          </w:p>
        </w:tc>
        <w:tc>
          <w:tcPr>
            <w:tcW w:w="2409"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cs="宋体"/>
                <w:b/>
              </w:rPr>
            </w:pPr>
            <w:r>
              <w:rPr>
                <w:rFonts w:hint="eastAsia" w:ascii="宋体" w:hAnsi="宋体" w:cs="宋体"/>
                <w:b/>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688" w:type="dxa"/>
            <w:tcBorders>
              <w:top w:val="single" w:color="auto" w:sz="6" w:space="0"/>
            </w:tcBorders>
            <w:vAlign w:val="top"/>
          </w:tcPr>
          <w:p>
            <w:pPr>
              <w:spacing w:before="156" w:after="156" w:line="400" w:lineRule="exact"/>
              <w:jc w:val="center"/>
              <w:rPr>
                <w:rFonts w:hint="default" w:ascii="宋体" w:hAnsi="宋体" w:eastAsia="宋体" w:cs="宋体"/>
                <w:b/>
                <w:lang w:val="en-US" w:eastAsia="zh-CN"/>
              </w:rPr>
            </w:pPr>
            <w:r>
              <w:rPr>
                <w:rFonts w:hint="eastAsia" w:ascii="宋体" w:hAnsi="宋体" w:cs="宋体"/>
                <w:b/>
                <w:lang w:val="en-US" w:eastAsia="zh-CN"/>
              </w:rPr>
              <w:t>2017</w:t>
            </w:r>
          </w:p>
        </w:tc>
        <w:tc>
          <w:tcPr>
            <w:tcW w:w="2812" w:type="dxa"/>
            <w:tcBorders>
              <w:top w:val="single" w:color="auto" w:sz="6" w:space="0"/>
            </w:tcBorders>
            <w:vAlign w:val="top"/>
          </w:tcPr>
          <w:p>
            <w:pPr>
              <w:spacing w:before="156" w:after="156" w:line="400" w:lineRule="exact"/>
              <w:rPr>
                <w:rFonts w:hint="eastAsia" w:ascii="宋体" w:hAnsi="宋体" w:cs="宋体"/>
                <w:b/>
              </w:rPr>
            </w:pPr>
          </w:p>
        </w:tc>
        <w:tc>
          <w:tcPr>
            <w:tcW w:w="2160" w:type="dxa"/>
            <w:tcBorders>
              <w:top w:val="single" w:color="auto" w:sz="6" w:space="0"/>
            </w:tcBorders>
            <w:vAlign w:val="top"/>
          </w:tcPr>
          <w:p>
            <w:pPr>
              <w:spacing w:before="156" w:after="156" w:line="400" w:lineRule="exact"/>
              <w:rPr>
                <w:rFonts w:hint="eastAsia" w:ascii="宋体" w:hAnsi="宋体" w:cs="宋体"/>
                <w:b/>
              </w:rPr>
            </w:pPr>
          </w:p>
        </w:tc>
        <w:tc>
          <w:tcPr>
            <w:tcW w:w="2409" w:type="dxa"/>
            <w:tcBorders>
              <w:top w:val="single" w:color="auto" w:sz="6" w:space="0"/>
            </w:tcBorders>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688" w:type="dxa"/>
            <w:vAlign w:val="top"/>
          </w:tcPr>
          <w:p>
            <w:pPr>
              <w:spacing w:before="156" w:after="156" w:line="400" w:lineRule="exact"/>
              <w:jc w:val="center"/>
              <w:rPr>
                <w:rFonts w:hint="default" w:ascii="宋体" w:hAnsi="宋体" w:eastAsia="宋体" w:cs="宋体"/>
                <w:b/>
                <w:lang w:val="en-US" w:eastAsia="zh-CN"/>
              </w:rPr>
            </w:pPr>
            <w:r>
              <w:rPr>
                <w:rFonts w:hint="eastAsia" w:ascii="宋体" w:hAnsi="宋体" w:cs="宋体"/>
                <w:b/>
                <w:lang w:val="en-US" w:eastAsia="zh-CN"/>
              </w:rPr>
              <w:t>2018</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688" w:type="dxa"/>
            <w:vAlign w:val="top"/>
          </w:tcPr>
          <w:p>
            <w:pPr>
              <w:spacing w:before="156" w:after="156" w:line="400" w:lineRule="exact"/>
              <w:jc w:val="center"/>
              <w:rPr>
                <w:rFonts w:hint="default" w:ascii="宋体" w:hAnsi="宋体" w:eastAsia="宋体" w:cs="宋体"/>
                <w:b/>
                <w:lang w:val="en-US" w:eastAsia="zh-CN"/>
              </w:rPr>
            </w:pPr>
            <w:r>
              <w:rPr>
                <w:rFonts w:hint="eastAsia" w:ascii="宋体" w:hAnsi="宋体" w:cs="宋体"/>
                <w:b/>
                <w:lang w:val="en-US" w:eastAsia="zh-CN"/>
              </w:rPr>
              <w:t>2019</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688" w:type="dxa"/>
            <w:vAlign w:val="top"/>
          </w:tcPr>
          <w:p>
            <w:pPr>
              <w:spacing w:before="156" w:after="156" w:line="400" w:lineRule="exact"/>
              <w:jc w:val="center"/>
              <w:rPr>
                <w:rFonts w:hint="eastAsia" w:ascii="宋体" w:hAnsi="宋体" w:cs="宋体"/>
                <w:b/>
              </w:rPr>
            </w:pPr>
            <w:r>
              <w:rPr>
                <w:rFonts w:hint="eastAsia" w:ascii="宋体" w:hAnsi="宋体" w:cs="宋体"/>
                <w:b/>
              </w:rPr>
              <w:t>三年平均值</w:t>
            </w:r>
          </w:p>
        </w:tc>
        <w:tc>
          <w:tcPr>
            <w:tcW w:w="2812" w:type="dxa"/>
            <w:vAlign w:val="top"/>
          </w:tcPr>
          <w:p>
            <w:pPr>
              <w:spacing w:before="156" w:after="156" w:line="400" w:lineRule="exact"/>
              <w:rPr>
                <w:rFonts w:hint="eastAsia" w:ascii="宋体" w:hAnsi="宋体" w:cs="宋体"/>
                <w:b/>
              </w:rPr>
            </w:pPr>
          </w:p>
        </w:tc>
        <w:tc>
          <w:tcPr>
            <w:tcW w:w="2160" w:type="dxa"/>
            <w:vAlign w:val="top"/>
          </w:tcPr>
          <w:p>
            <w:pPr>
              <w:spacing w:before="156" w:after="156" w:line="400" w:lineRule="exact"/>
              <w:rPr>
                <w:rFonts w:hint="eastAsia" w:ascii="宋体" w:hAnsi="宋体" w:cs="宋体"/>
                <w:b/>
              </w:rPr>
            </w:pPr>
          </w:p>
        </w:tc>
        <w:tc>
          <w:tcPr>
            <w:tcW w:w="2409" w:type="dxa"/>
            <w:vAlign w:val="top"/>
          </w:tcPr>
          <w:p>
            <w:pPr>
              <w:spacing w:before="156" w:after="156" w:line="400" w:lineRule="exact"/>
              <w:rPr>
                <w:rFonts w:hint="eastAsia" w:ascii="宋体" w:hAnsi="宋体" w:cs="宋体"/>
                <w:b/>
              </w:rPr>
            </w:pPr>
          </w:p>
        </w:tc>
      </w:tr>
    </w:tbl>
    <w:p>
      <w:pPr>
        <w:spacing w:before="156" w:after="156" w:line="400" w:lineRule="exact"/>
        <w:rPr>
          <w:rFonts w:hint="eastAsia" w:ascii="宋体" w:hAnsi="宋体" w:cs="宋体"/>
        </w:rPr>
      </w:pPr>
      <w:r>
        <w:rPr>
          <w:rFonts w:hint="eastAsia" w:ascii="宋体" w:hAnsi="宋体" w:cs="宋体"/>
        </w:rPr>
        <w:t>四、投标人获得资质和代理资格证明文件</w:t>
      </w:r>
      <w:r>
        <w:rPr>
          <w:rFonts w:hint="eastAsia" w:ascii="宋体" w:hAnsi="宋体" w:cs="宋体"/>
          <w:bCs/>
        </w:rPr>
        <w:t>（须后附相关资格和证明文件的复印件，并加盖公章）</w:t>
      </w:r>
    </w:p>
    <w:tbl>
      <w:tblPr>
        <w:tblStyle w:val="47"/>
        <w:tblW w:w="90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70"/>
        <w:gridCol w:w="2421"/>
        <w:gridCol w:w="1926"/>
        <w:gridCol w:w="16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3070"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证书名称</w:t>
            </w:r>
          </w:p>
        </w:tc>
        <w:tc>
          <w:tcPr>
            <w:tcW w:w="2421"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发证单位</w:t>
            </w:r>
          </w:p>
        </w:tc>
        <w:tc>
          <w:tcPr>
            <w:tcW w:w="1926"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证书等级</w:t>
            </w:r>
          </w:p>
        </w:tc>
        <w:tc>
          <w:tcPr>
            <w:tcW w:w="1643"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证书有效期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0" w:type="dxa"/>
            <w:tcBorders>
              <w:top w:val="single" w:color="auto" w:sz="6" w:space="0"/>
            </w:tcBorders>
            <w:vAlign w:val="top"/>
          </w:tcPr>
          <w:p>
            <w:pPr>
              <w:spacing w:before="156" w:after="156" w:line="400" w:lineRule="exact"/>
              <w:rPr>
                <w:rFonts w:hint="eastAsia" w:ascii="宋体" w:hAnsi="宋体" w:cs="宋体"/>
              </w:rPr>
            </w:pPr>
          </w:p>
        </w:tc>
        <w:tc>
          <w:tcPr>
            <w:tcW w:w="2421" w:type="dxa"/>
            <w:tcBorders>
              <w:top w:val="single" w:color="auto" w:sz="6" w:space="0"/>
            </w:tcBorders>
            <w:vAlign w:val="top"/>
          </w:tcPr>
          <w:p>
            <w:pPr>
              <w:spacing w:before="156" w:after="156" w:line="400" w:lineRule="exact"/>
              <w:rPr>
                <w:rFonts w:hint="eastAsia" w:ascii="宋体" w:hAnsi="宋体" w:cs="宋体"/>
              </w:rPr>
            </w:pPr>
          </w:p>
        </w:tc>
        <w:tc>
          <w:tcPr>
            <w:tcW w:w="1926" w:type="dxa"/>
            <w:tcBorders>
              <w:top w:val="single" w:color="auto" w:sz="6" w:space="0"/>
            </w:tcBorders>
            <w:vAlign w:val="top"/>
          </w:tcPr>
          <w:p>
            <w:pPr>
              <w:spacing w:before="156" w:after="156" w:line="400" w:lineRule="exact"/>
              <w:rPr>
                <w:rFonts w:hint="eastAsia" w:ascii="宋体" w:hAnsi="宋体" w:cs="宋体"/>
              </w:rPr>
            </w:pPr>
          </w:p>
        </w:tc>
        <w:tc>
          <w:tcPr>
            <w:tcW w:w="1643" w:type="dxa"/>
            <w:tcBorders>
              <w:top w:val="single" w:color="auto" w:sz="6" w:space="0"/>
            </w:tcBorders>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3070"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1926" w:type="dxa"/>
            <w:vAlign w:val="top"/>
          </w:tcPr>
          <w:p>
            <w:pPr>
              <w:spacing w:before="156" w:after="156" w:line="400" w:lineRule="exact"/>
              <w:rPr>
                <w:rFonts w:hint="eastAsia" w:ascii="宋体" w:hAnsi="宋体" w:cs="宋体"/>
              </w:rPr>
            </w:pPr>
          </w:p>
        </w:tc>
        <w:tc>
          <w:tcPr>
            <w:tcW w:w="1643" w:type="dxa"/>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0"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1926" w:type="dxa"/>
            <w:vAlign w:val="top"/>
          </w:tcPr>
          <w:p>
            <w:pPr>
              <w:spacing w:before="156" w:after="156" w:line="400" w:lineRule="exact"/>
              <w:rPr>
                <w:rFonts w:hint="eastAsia" w:ascii="宋体" w:hAnsi="宋体" w:cs="宋体"/>
              </w:rPr>
            </w:pPr>
          </w:p>
        </w:tc>
        <w:tc>
          <w:tcPr>
            <w:tcW w:w="1643" w:type="dxa"/>
            <w:vAlign w:val="top"/>
          </w:tcPr>
          <w:p>
            <w:pPr>
              <w:spacing w:before="156" w:after="156" w:line="400" w:lineRule="exact"/>
              <w:rPr>
                <w:rFonts w:hint="eastAsia" w:ascii="宋体" w:hAnsi="宋体" w:cs="宋体"/>
              </w:rPr>
            </w:pPr>
          </w:p>
        </w:tc>
      </w:tr>
    </w:tbl>
    <w:p>
      <w:pPr>
        <w:spacing w:before="156" w:after="156" w:line="400" w:lineRule="exact"/>
        <w:rPr>
          <w:rFonts w:hint="eastAsia" w:ascii="宋体" w:hAnsi="宋体" w:cs="宋体"/>
          <w:szCs w:val="21"/>
        </w:rPr>
      </w:pPr>
      <w:r>
        <w:rPr>
          <w:rFonts w:hint="eastAsia" w:ascii="宋体" w:hAnsi="宋体" w:cs="宋体"/>
        </w:rPr>
        <w:t>五、</w:t>
      </w:r>
      <w:r>
        <w:rPr>
          <w:rFonts w:hint="eastAsia" w:ascii="宋体" w:hAnsi="宋体" w:cs="宋体"/>
          <w:szCs w:val="21"/>
        </w:rPr>
        <w:t>投标人获奖情况（须后附相关获奖证书的复印件，并加盖公章）</w:t>
      </w:r>
    </w:p>
    <w:tbl>
      <w:tblPr>
        <w:tblStyle w:val="47"/>
        <w:tblW w:w="90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07"/>
        <w:gridCol w:w="2421"/>
        <w:gridCol w:w="33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3307"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证书名称</w:t>
            </w:r>
          </w:p>
        </w:tc>
        <w:tc>
          <w:tcPr>
            <w:tcW w:w="2421"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发证单位</w:t>
            </w:r>
          </w:p>
        </w:tc>
        <w:tc>
          <w:tcPr>
            <w:tcW w:w="3332" w:type="dxa"/>
            <w:tcBorders>
              <w:top w:val="double" w:color="auto" w:sz="4" w:space="0"/>
              <w:bottom w:val="single" w:color="auto" w:sz="6" w:space="0"/>
            </w:tcBorders>
            <w:shd w:val="clear" w:color="auto" w:fill="D9D9D9"/>
            <w:vAlign w:val="top"/>
          </w:tcPr>
          <w:p>
            <w:pPr>
              <w:spacing w:before="156" w:after="156" w:line="400" w:lineRule="exact"/>
              <w:jc w:val="center"/>
              <w:rPr>
                <w:rFonts w:hint="eastAsia" w:ascii="宋体" w:hAnsi="宋体" w:cs="宋体"/>
                <w:b/>
              </w:rPr>
            </w:pPr>
            <w:r>
              <w:rPr>
                <w:rFonts w:hint="eastAsia" w:ascii="宋体" w:hAnsi="宋体" w:cs="宋体"/>
                <w:b/>
              </w:rPr>
              <w:t>证书等级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307" w:type="dxa"/>
            <w:tcBorders>
              <w:top w:val="single" w:color="auto" w:sz="6" w:space="0"/>
            </w:tcBorders>
            <w:vAlign w:val="top"/>
          </w:tcPr>
          <w:p>
            <w:pPr>
              <w:spacing w:before="156" w:after="156" w:line="400" w:lineRule="exact"/>
              <w:rPr>
                <w:rFonts w:hint="eastAsia" w:ascii="宋体" w:hAnsi="宋体" w:cs="宋体"/>
              </w:rPr>
            </w:pPr>
          </w:p>
        </w:tc>
        <w:tc>
          <w:tcPr>
            <w:tcW w:w="2421" w:type="dxa"/>
            <w:tcBorders>
              <w:top w:val="single" w:color="auto" w:sz="6" w:space="0"/>
            </w:tcBorders>
            <w:vAlign w:val="top"/>
          </w:tcPr>
          <w:p>
            <w:pPr>
              <w:spacing w:before="156" w:after="156" w:line="400" w:lineRule="exact"/>
              <w:rPr>
                <w:rFonts w:hint="eastAsia" w:ascii="宋体" w:hAnsi="宋体" w:cs="宋体"/>
              </w:rPr>
            </w:pPr>
          </w:p>
        </w:tc>
        <w:tc>
          <w:tcPr>
            <w:tcW w:w="3332" w:type="dxa"/>
            <w:tcBorders>
              <w:top w:val="single" w:color="auto" w:sz="6" w:space="0"/>
            </w:tcBorders>
            <w:vAlign w:val="top"/>
          </w:tcPr>
          <w:p>
            <w:pPr>
              <w:spacing w:before="156" w:after="156" w:line="400" w:lineRule="exac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3307" w:type="dxa"/>
            <w:vAlign w:val="top"/>
          </w:tcPr>
          <w:p>
            <w:pPr>
              <w:spacing w:before="156" w:after="156" w:line="400" w:lineRule="exact"/>
              <w:rPr>
                <w:rFonts w:hint="eastAsia" w:ascii="宋体" w:hAnsi="宋体" w:cs="宋体"/>
              </w:rPr>
            </w:pPr>
          </w:p>
        </w:tc>
        <w:tc>
          <w:tcPr>
            <w:tcW w:w="2421" w:type="dxa"/>
            <w:vAlign w:val="top"/>
          </w:tcPr>
          <w:p>
            <w:pPr>
              <w:spacing w:before="156" w:after="156" w:line="400" w:lineRule="exact"/>
              <w:rPr>
                <w:rFonts w:hint="eastAsia" w:ascii="宋体" w:hAnsi="宋体" w:cs="宋体"/>
              </w:rPr>
            </w:pPr>
          </w:p>
        </w:tc>
        <w:tc>
          <w:tcPr>
            <w:tcW w:w="3332" w:type="dxa"/>
            <w:vAlign w:val="top"/>
          </w:tcPr>
          <w:p>
            <w:pPr>
              <w:spacing w:before="156" w:after="156" w:line="400" w:lineRule="exact"/>
              <w:rPr>
                <w:rFonts w:hint="eastAsia" w:ascii="宋体" w:hAnsi="宋体" w:cs="宋体"/>
              </w:rPr>
            </w:pPr>
          </w:p>
        </w:tc>
      </w:tr>
    </w:tbl>
    <w:p>
      <w:pPr>
        <w:spacing w:line="360" w:lineRule="auto"/>
        <w:rPr>
          <w:rFonts w:hint="eastAsia" w:ascii="宋体" w:hAnsi="宋体" w:cs="宋体"/>
        </w:rPr>
      </w:pPr>
      <w:r>
        <w:rPr>
          <w:rFonts w:hint="eastAsia" w:ascii="宋体" w:hAnsi="宋体" w:cs="宋体"/>
        </w:rPr>
        <w:t>六、投标人资格条件证明文件</w:t>
      </w:r>
    </w:p>
    <w:p>
      <w:pPr>
        <w:spacing w:before="156" w:after="156" w:line="400" w:lineRule="exact"/>
        <w:ind w:firstLine="422" w:firstLineChars="200"/>
        <w:rPr>
          <w:rFonts w:hint="eastAsia" w:ascii="宋体" w:hAnsi="宋体" w:cs="宋体"/>
          <w:b/>
        </w:rPr>
      </w:pPr>
      <w:r>
        <w:rPr>
          <w:rFonts w:hint="eastAsia" w:ascii="宋体" w:hAnsi="宋体" w:cs="宋体"/>
          <w:b/>
        </w:rPr>
        <w:t>投标人必须按照本招标文件第一部分《投标邀请函》的“投标人资格要求”要求提供相关证明文件复印件（加盖公章）。</w:t>
      </w:r>
    </w:p>
    <w:p>
      <w:pPr>
        <w:spacing w:before="156" w:after="156" w:line="400" w:lineRule="exact"/>
        <w:rPr>
          <w:rFonts w:hint="eastAsia" w:ascii="宋体" w:hAnsi="宋体" w:cs="宋体"/>
        </w:rPr>
      </w:pPr>
      <w:r>
        <w:rPr>
          <w:rFonts w:hint="eastAsia" w:ascii="宋体" w:hAnsi="宋体" w:cs="宋体"/>
        </w:rPr>
        <w:t>七、其他</w:t>
      </w:r>
    </w:p>
    <w:p>
      <w:pPr>
        <w:spacing w:before="156" w:after="156" w:line="400" w:lineRule="exact"/>
        <w:ind w:firstLine="315" w:firstLineChars="150"/>
        <w:rPr>
          <w:rFonts w:hint="eastAsia" w:ascii="宋体" w:hAnsi="宋体" w:cs="宋体"/>
        </w:rPr>
      </w:pPr>
      <w:r>
        <w:rPr>
          <w:rFonts w:hint="eastAsia" w:ascii="宋体" w:hAnsi="宋体" w:cs="宋体"/>
        </w:rPr>
        <w:t>1、近3年完成及正在执行的合同中发生的由于投标人违约或部份违约而引起诉讼和受到索赔的案件具体情况及结果（须如实填写，若对此进行隐瞒，尔后又被采购人或采购代理机构发现，或被它人举证成立，其投标资格将被取消）。</w:t>
      </w:r>
    </w:p>
    <w:tbl>
      <w:tblPr>
        <w:tblStyle w:val="47"/>
        <w:tblW w:w="92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3060"/>
        <w:gridCol w:w="3240"/>
        <w:gridCol w:w="1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8" w:hRule="atLeast"/>
          <w:jc w:val="center"/>
        </w:trPr>
        <w:tc>
          <w:tcPr>
            <w:tcW w:w="1368"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时 间</w:t>
            </w:r>
          </w:p>
        </w:tc>
        <w:tc>
          <w:tcPr>
            <w:tcW w:w="306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受处理的原因</w:t>
            </w:r>
          </w:p>
          <w:p>
            <w:pPr>
              <w:pStyle w:val="7"/>
              <w:jc w:val="center"/>
              <w:rPr>
                <w:rFonts w:hint="eastAsia" w:ascii="宋体" w:hAnsi="宋体" w:cs="宋体"/>
                <w:szCs w:val="21"/>
              </w:rPr>
            </w:pPr>
          </w:p>
        </w:tc>
        <w:tc>
          <w:tcPr>
            <w:tcW w:w="324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处理的内容</w:t>
            </w:r>
          </w:p>
          <w:p>
            <w:pPr>
              <w:pStyle w:val="7"/>
              <w:jc w:val="center"/>
              <w:rPr>
                <w:rFonts w:hint="eastAsia" w:ascii="宋体" w:hAnsi="宋体" w:cs="宋体"/>
                <w:szCs w:val="21"/>
              </w:rPr>
            </w:pPr>
          </w:p>
        </w:tc>
        <w:tc>
          <w:tcPr>
            <w:tcW w:w="1620" w:type="dxa"/>
            <w:tcBorders>
              <w:top w:val="double" w:color="auto" w:sz="4" w:space="0"/>
              <w:bottom w:val="single" w:color="auto" w:sz="6" w:space="0"/>
            </w:tcBorders>
            <w:shd w:val="clear" w:color="auto" w:fill="E0E0E0"/>
            <w:vAlign w:val="center"/>
          </w:tcPr>
          <w:p>
            <w:pPr>
              <w:pStyle w:val="7"/>
              <w:ind w:left="0" w:leftChars="0" w:firstLine="0" w:firstLineChars="0"/>
              <w:jc w:val="center"/>
              <w:rPr>
                <w:rFonts w:hint="eastAsia" w:ascii="宋体" w:hAnsi="宋体" w:cs="宋体"/>
                <w:b/>
                <w:szCs w:val="21"/>
              </w:rPr>
            </w:pPr>
            <w:r>
              <w:rPr>
                <w:rFonts w:hint="eastAsia" w:ascii="宋体" w:hAnsi="宋体" w:cs="宋体"/>
                <w:b/>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368" w:type="dxa"/>
            <w:tcBorders>
              <w:top w:val="single" w:color="auto" w:sz="6" w:space="0"/>
            </w:tcBorders>
            <w:vAlign w:val="top"/>
          </w:tcPr>
          <w:p>
            <w:pPr>
              <w:pStyle w:val="7"/>
              <w:rPr>
                <w:rFonts w:hint="eastAsia" w:ascii="宋体" w:hAnsi="宋体" w:cs="宋体"/>
              </w:rPr>
            </w:pPr>
          </w:p>
        </w:tc>
        <w:tc>
          <w:tcPr>
            <w:tcW w:w="3060" w:type="dxa"/>
            <w:tcBorders>
              <w:top w:val="single" w:color="auto" w:sz="6" w:space="0"/>
            </w:tcBorders>
            <w:vAlign w:val="top"/>
          </w:tcPr>
          <w:p>
            <w:pPr>
              <w:pStyle w:val="7"/>
              <w:rPr>
                <w:rFonts w:hint="eastAsia" w:ascii="宋体" w:hAnsi="宋体" w:cs="宋体"/>
              </w:rPr>
            </w:pPr>
          </w:p>
        </w:tc>
        <w:tc>
          <w:tcPr>
            <w:tcW w:w="3240" w:type="dxa"/>
            <w:tcBorders>
              <w:top w:val="single" w:color="auto" w:sz="6" w:space="0"/>
            </w:tcBorders>
            <w:vAlign w:val="top"/>
          </w:tcPr>
          <w:p>
            <w:pPr>
              <w:pStyle w:val="7"/>
              <w:rPr>
                <w:rFonts w:hint="eastAsia" w:ascii="宋体" w:hAnsi="宋体" w:cs="宋体"/>
              </w:rPr>
            </w:pPr>
          </w:p>
        </w:tc>
        <w:tc>
          <w:tcPr>
            <w:tcW w:w="1620" w:type="dxa"/>
            <w:tcBorders>
              <w:top w:val="single" w:color="auto" w:sz="6" w:space="0"/>
            </w:tcBorders>
            <w:vAlign w:val="top"/>
          </w:tcPr>
          <w:p>
            <w:pPr>
              <w:pStyle w:val="7"/>
              <w:rPr>
                <w:rFonts w:hint="eastAsia" w:ascii="宋体" w:hAnsi="宋体" w:cs="宋体"/>
              </w:rPr>
            </w:pPr>
          </w:p>
        </w:tc>
      </w:tr>
    </w:tbl>
    <w:p>
      <w:pPr>
        <w:pStyle w:val="7"/>
        <w:spacing w:line="360" w:lineRule="auto"/>
        <w:rPr>
          <w:rFonts w:hint="eastAsia" w:ascii="宋体" w:hAnsi="宋体" w:cs="宋体"/>
        </w:rPr>
      </w:pPr>
    </w:p>
    <w:p>
      <w:pPr>
        <w:pStyle w:val="7"/>
        <w:spacing w:line="360" w:lineRule="auto"/>
        <w:rPr>
          <w:rFonts w:hint="eastAsia" w:ascii="宋体" w:hAnsi="宋体" w:cs="宋体"/>
        </w:rPr>
      </w:pPr>
      <w:r>
        <w:rPr>
          <w:rFonts w:hint="eastAsia" w:ascii="宋体" w:hAnsi="宋体" w:cs="宋体"/>
        </w:rPr>
        <w:t xml:space="preserve">2、其他投标人认为有必要提供的其他证明有关技术、资金实力的资质材料，所有证明文件需提供复印件（加盖公章）                            </w:t>
      </w:r>
      <w:r>
        <w:rPr>
          <w:rFonts w:hint="eastAsia" w:ascii="宋体" w:hAnsi="宋体" w:cs="宋体"/>
        </w:rPr>
        <w:tab/>
      </w:r>
    </w:p>
    <w:p>
      <w:pPr>
        <w:spacing w:before="120" w:beforeLines="50" w:after="120" w:afterLines="50" w:line="360" w:lineRule="exact"/>
        <w:rPr>
          <w:rFonts w:hint="eastAsia" w:ascii="宋体" w:hAnsi="宋体" w:cs="宋体"/>
        </w:rPr>
      </w:pPr>
      <w:r>
        <w:rPr>
          <w:rFonts w:hint="eastAsia" w:ascii="宋体" w:hAnsi="宋体" w:cs="宋体"/>
        </w:rPr>
        <w:t xml:space="preserve">    我们承诺上述提供资料真实正确无误，愿意接受任何有必要的核实和调查。</w:t>
      </w:r>
    </w:p>
    <w:p>
      <w:pPr>
        <w:spacing w:line="360" w:lineRule="auto"/>
        <w:ind w:firstLine="5938" w:firstLineChars="2828"/>
        <w:rPr>
          <w:rFonts w:hint="eastAsia" w:ascii="宋体" w:hAnsi="宋体" w:cs="宋体"/>
        </w:rPr>
      </w:pPr>
      <w:r>
        <w:rPr>
          <w:rFonts w:hint="eastAsia" w:ascii="宋体" w:hAnsi="宋体" w:cs="宋体"/>
          <w:szCs w:val="21"/>
        </w:rPr>
        <w:t>投标人名称</w:t>
      </w:r>
      <w:r>
        <w:rPr>
          <w:rFonts w:hint="eastAsia" w:ascii="宋体" w:hAnsi="宋体" w:cs="宋体"/>
        </w:rPr>
        <w:t>（加盖公章）：</w:t>
      </w:r>
    </w:p>
    <w:p>
      <w:pPr>
        <w:spacing w:line="360" w:lineRule="auto"/>
        <w:jc w:val="right"/>
        <w:rPr>
          <w:rFonts w:hint="eastAsia" w:ascii="宋体" w:hAnsi="宋体" w:cs="宋体"/>
        </w:rPr>
      </w:pPr>
      <w:r>
        <w:rPr>
          <w:rFonts w:hint="eastAsia" w:ascii="宋体" w:hAnsi="宋体" w:cs="宋体"/>
        </w:rPr>
        <w:t>法定代表人或授权委托人（</w:t>
      </w:r>
      <w:r>
        <w:rPr>
          <w:rFonts w:hint="eastAsia" w:ascii="宋体" w:hAnsi="宋体" w:cs="宋体"/>
          <w:szCs w:val="21"/>
        </w:rPr>
        <w:t>签名或盖章</w:t>
      </w:r>
      <w:r>
        <w:rPr>
          <w:rFonts w:hint="eastAsia" w:ascii="宋体" w:hAnsi="宋体" w:cs="宋体"/>
        </w:rPr>
        <w:t xml:space="preserve">）： </w:t>
      </w:r>
    </w:p>
    <w:p>
      <w:pPr>
        <w:spacing w:line="360" w:lineRule="auto"/>
        <w:ind w:firstLine="5938" w:firstLineChars="2828"/>
        <w:rPr>
          <w:rFonts w:hint="eastAsia" w:ascii="宋体" w:hAnsi="宋体" w:cs="宋体"/>
        </w:rPr>
      </w:pPr>
      <w:r>
        <w:rPr>
          <w:rFonts w:hint="eastAsia" w:ascii="宋体" w:hAnsi="宋体" w:cs="宋体"/>
        </w:rPr>
        <w:t>日  期：</w:t>
      </w:r>
    </w:p>
    <w:p>
      <w:pPr>
        <w:spacing w:line="360" w:lineRule="auto"/>
        <w:rPr>
          <w:rFonts w:hint="eastAsia" w:ascii="宋体" w:hAnsi="宋体" w:cs="宋体"/>
          <w:sz w:val="28"/>
          <w:szCs w:val="28"/>
        </w:rPr>
      </w:pPr>
      <w:bookmarkStart w:id="75" w:name="_Toc420684763"/>
      <w:bookmarkStart w:id="76" w:name="_Toc421004197"/>
      <w:bookmarkStart w:id="77" w:name="_Toc421205760"/>
    </w:p>
    <w:p>
      <w:pPr>
        <w:spacing w:line="360" w:lineRule="auto"/>
        <w:rPr>
          <w:rFonts w:hint="eastAsia" w:ascii="宋体" w:hAnsi="宋体" w:cs="宋体"/>
          <w:sz w:val="28"/>
          <w:szCs w:val="28"/>
        </w:rPr>
      </w:pPr>
    </w:p>
    <w:p>
      <w:pPr>
        <w:spacing w:line="360" w:lineRule="auto"/>
        <w:rPr>
          <w:rFonts w:hint="eastAsia" w:ascii="宋体" w:hAnsi="宋体" w:cs="宋体"/>
        </w:rPr>
      </w:pPr>
      <w:r>
        <w:rPr>
          <w:rFonts w:hint="eastAsia" w:ascii="宋体" w:hAnsi="宋体" w:cs="宋体"/>
          <w:sz w:val="28"/>
          <w:szCs w:val="28"/>
        </w:rPr>
        <w:t>表5-8  售后服务机构情况表</w:t>
      </w:r>
      <w:bookmarkEnd w:id="75"/>
      <w:bookmarkEnd w:id="76"/>
      <w:bookmarkEnd w:id="77"/>
    </w:p>
    <w:p>
      <w:pPr>
        <w:rPr>
          <w:rFonts w:hint="eastAsia" w:ascii="宋体" w:hAnsi="宋体" w:cs="宋体"/>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p>
    <w:tbl>
      <w:tblPr>
        <w:tblStyle w:val="47"/>
        <w:tblW w:w="1068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3"/>
        <w:gridCol w:w="774"/>
        <w:gridCol w:w="733"/>
        <w:gridCol w:w="592"/>
        <w:gridCol w:w="891"/>
        <w:gridCol w:w="393"/>
        <w:gridCol w:w="1112"/>
        <w:gridCol w:w="915"/>
        <w:gridCol w:w="763"/>
        <w:gridCol w:w="1768"/>
        <w:gridCol w:w="804"/>
        <w:gridCol w:w="10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服务中心</w:t>
            </w:r>
          </w:p>
          <w:p>
            <w:pPr>
              <w:jc w:val="center"/>
              <w:rPr>
                <w:rFonts w:hint="eastAsia" w:ascii="宋体" w:hAnsi="宋体" w:cs="宋体"/>
                <w:b/>
                <w:szCs w:val="21"/>
              </w:rPr>
            </w:pPr>
            <w:r>
              <w:rPr>
                <w:rFonts w:hint="eastAsia" w:ascii="宋体" w:hAnsi="宋体" w:cs="宋体"/>
                <w:b/>
                <w:bCs/>
                <w:szCs w:val="21"/>
              </w:rPr>
              <w:t>名称</w:t>
            </w:r>
          </w:p>
        </w:tc>
        <w:tc>
          <w:tcPr>
            <w:tcW w:w="8239" w:type="dxa"/>
            <w:gridSpan w:val="9"/>
            <w:vAlign w:val="center"/>
          </w:tcPr>
          <w:p>
            <w:pP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服务部门</w:t>
            </w:r>
          </w:p>
          <w:p>
            <w:pPr>
              <w:jc w:val="center"/>
              <w:rPr>
                <w:rFonts w:hint="eastAsia" w:ascii="宋体" w:hAnsi="宋体" w:cs="宋体"/>
                <w:b/>
                <w:bCs/>
                <w:szCs w:val="21"/>
              </w:rPr>
            </w:pPr>
            <w:r>
              <w:rPr>
                <w:rFonts w:hint="eastAsia" w:ascii="宋体" w:hAnsi="宋体" w:cs="宋体"/>
                <w:b/>
                <w:bCs/>
                <w:szCs w:val="21"/>
              </w:rPr>
              <w:t>总人数量</w:t>
            </w:r>
          </w:p>
        </w:tc>
        <w:tc>
          <w:tcPr>
            <w:tcW w:w="8239" w:type="dxa"/>
            <w:gridSpan w:val="9"/>
            <w:vAlign w:val="center"/>
          </w:tcPr>
          <w:p>
            <w:pPr>
              <w:ind w:left="3551"/>
              <w:rPr>
                <w:rFonts w:hint="eastAsia" w:ascii="宋体" w:hAnsi="宋体" w:cs="宋体"/>
                <w:b/>
                <w:bCs/>
                <w:szCs w:val="21"/>
              </w:rPr>
            </w:pPr>
          </w:p>
          <w:p>
            <w:pP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450" w:type="dxa"/>
            <w:gridSpan w:val="3"/>
            <w:vAlign w:val="center"/>
          </w:tcPr>
          <w:p>
            <w:pPr>
              <w:jc w:val="center"/>
              <w:rPr>
                <w:rFonts w:hint="eastAsia" w:ascii="宋体" w:hAnsi="宋体" w:cs="宋体"/>
                <w:b/>
                <w:szCs w:val="21"/>
              </w:rPr>
            </w:pPr>
            <w:r>
              <w:rPr>
                <w:rFonts w:hint="eastAsia" w:ascii="宋体" w:hAnsi="宋体" w:cs="宋体"/>
                <w:b/>
                <w:bCs/>
                <w:szCs w:val="21"/>
              </w:rPr>
              <w:t>地址</w:t>
            </w:r>
          </w:p>
        </w:tc>
        <w:tc>
          <w:tcPr>
            <w:tcW w:w="4666" w:type="dxa"/>
            <w:gridSpan w:val="6"/>
            <w:vAlign w:val="center"/>
          </w:tcPr>
          <w:p>
            <w:pP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bCs/>
                <w:szCs w:val="21"/>
              </w:rPr>
              <w:t>负责人</w:t>
            </w:r>
          </w:p>
        </w:tc>
        <w:tc>
          <w:tcPr>
            <w:tcW w:w="1805" w:type="dxa"/>
            <w:gridSpan w:val="2"/>
            <w:vAlign w:val="center"/>
          </w:tcPr>
          <w:p>
            <w:pPr>
              <w:ind w:left="696"/>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2450" w:type="dxa"/>
            <w:gridSpan w:val="3"/>
            <w:vAlign w:val="center"/>
          </w:tcPr>
          <w:p>
            <w:pPr>
              <w:jc w:val="center"/>
              <w:rPr>
                <w:rFonts w:hint="eastAsia" w:ascii="宋体" w:hAnsi="宋体" w:cs="宋体"/>
                <w:b/>
                <w:szCs w:val="21"/>
              </w:rPr>
            </w:pPr>
            <w:r>
              <w:rPr>
                <w:rFonts w:hint="eastAsia" w:ascii="宋体" w:hAnsi="宋体" w:cs="宋体"/>
                <w:b/>
                <w:bCs/>
                <w:szCs w:val="21"/>
              </w:rPr>
              <w:t>电话</w:t>
            </w:r>
          </w:p>
        </w:tc>
        <w:tc>
          <w:tcPr>
            <w:tcW w:w="1876" w:type="dxa"/>
            <w:gridSpan w:val="3"/>
            <w:vAlign w:val="center"/>
          </w:tcPr>
          <w:p>
            <w:pPr>
              <w:rPr>
                <w:rFonts w:hint="eastAsia" w:ascii="宋体" w:hAnsi="宋体" w:cs="宋体"/>
                <w:b/>
                <w:szCs w:val="21"/>
              </w:rPr>
            </w:pPr>
          </w:p>
        </w:tc>
        <w:tc>
          <w:tcPr>
            <w:tcW w:w="1112" w:type="dxa"/>
            <w:vAlign w:val="center"/>
          </w:tcPr>
          <w:p>
            <w:pPr>
              <w:jc w:val="center"/>
              <w:rPr>
                <w:rFonts w:hint="eastAsia" w:ascii="宋体" w:hAnsi="宋体" w:cs="宋体"/>
                <w:b/>
                <w:szCs w:val="21"/>
              </w:rPr>
            </w:pPr>
            <w:r>
              <w:rPr>
                <w:rFonts w:hint="eastAsia" w:ascii="宋体" w:hAnsi="宋体" w:cs="宋体"/>
                <w:b/>
                <w:szCs w:val="21"/>
              </w:rPr>
              <w:t>传真</w:t>
            </w:r>
          </w:p>
        </w:tc>
        <w:tc>
          <w:tcPr>
            <w:tcW w:w="1678" w:type="dxa"/>
            <w:gridSpan w:val="2"/>
            <w:vAlign w:val="center"/>
          </w:tcPr>
          <w:p>
            <w:pPr>
              <w:jc w:val="cente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szCs w:val="21"/>
              </w:rPr>
              <w:t>公司网址</w:t>
            </w:r>
          </w:p>
        </w:tc>
        <w:tc>
          <w:tcPr>
            <w:tcW w:w="1805" w:type="dxa"/>
            <w:gridSpan w:val="2"/>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2450" w:type="dxa"/>
            <w:gridSpan w:val="3"/>
            <w:vAlign w:val="center"/>
          </w:tcPr>
          <w:p>
            <w:pPr>
              <w:jc w:val="center"/>
              <w:rPr>
                <w:rFonts w:hint="eastAsia" w:ascii="宋体" w:hAnsi="宋体" w:cs="宋体"/>
                <w:b/>
                <w:szCs w:val="21"/>
                <w:highlight w:val="none"/>
              </w:rPr>
            </w:pPr>
            <w:r>
              <w:rPr>
                <w:rFonts w:hint="eastAsia" w:ascii="宋体" w:hAnsi="宋体" w:cs="宋体"/>
                <w:b/>
                <w:bCs/>
                <w:szCs w:val="21"/>
                <w:highlight w:val="none"/>
              </w:rPr>
              <w:t>服务情况、服务业绩情况等</w:t>
            </w:r>
          </w:p>
        </w:tc>
        <w:tc>
          <w:tcPr>
            <w:tcW w:w="8239" w:type="dxa"/>
            <w:gridSpan w:val="9"/>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2450" w:type="dxa"/>
            <w:gridSpan w:val="3"/>
            <w:vAlign w:val="center"/>
          </w:tcPr>
          <w:p>
            <w:pPr>
              <w:jc w:val="center"/>
              <w:rPr>
                <w:rFonts w:hint="eastAsia" w:ascii="宋体" w:hAnsi="宋体" w:cs="宋体"/>
                <w:b/>
                <w:bCs/>
                <w:szCs w:val="21"/>
                <w:highlight w:val="none"/>
              </w:rPr>
            </w:pPr>
            <w:r>
              <w:rPr>
                <w:rFonts w:hint="eastAsia" w:ascii="宋体" w:hAnsi="宋体" w:cs="宋体"/>
                <w:b/>
                <w:bCs/>
                <w:szCs w:val="21"/>
                <w:highlight w:val="none"/>
              </w:rPr>
              <w:t>用于服务的通讯、办公、检测设备</w:t>
            </w:r>
          </w:p>
        </w:tc>
        <w:tc>
          <w:tcPr>
            <w:tcW w:w="8239" w:type="dxa"/>
            <w:gridSpan w:val="9"/>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50" w:type="dxa"/>
            <w:gridSpan w:val="3"/>
            <w:vAlign w:val="center"/>
          </w:tcPr>
          <w:p>
            <w:pPr>
              <w:jc w:val="center"/>
              <w:rPr>
                <w:rFonts w:hint="eastAsia" w:ascii="宋体" w:hAnsi="宋体" w:cs="宋体"/>
                <w:b/>
                <w:bCs/>
                <w:szCs w:val="21"/>
              </w:rPr>
            </w:pPr>
            <w:r>
              <w:rPr>
                <w:rFonts w:hint="eastAsia" w:ascii="宋体" w:hAnsi="宋体" w:cs="宋体"/>
                <w:b/>
                <w:bCs/>
                <w:szCs w:val="21"/>
              </w:rPr>
              <w:t>服务负责人</w:t>
            </w:r>
          </w:p>
        </w:tc>
        <w:tc>
          <w:tcPr>
            <w:tcW w:w="1876" w:type="dxa"/>
            <w:gridSpan w:val="3"/>
            <w:vAlign w:val="center"/>
          </w:tcPr>
          <w:p>
            <w:pPr>
              <w:jc w:val="center"/>
              <w:rPr>
                <w:rFonts w:hint="eastAsia" w:ascii="宋体" w:hAnsi="宋体" w:cs="宋体"/>
                <w:b/>
                <w:szCs w:val="21"/>
              </w:rPr>
            </w:pPr>
          </w:p>
        </w:tc>
        <w:tc>
          <w:tcPr>
            <w:tcW w:w="1112" w:type="dxa"/>
            <w:vAlign w:val="center"/>
          </w:tcPr>
          <w:p>
            <w:pPr>
              <w:jc w:val="center"/>
              <w:rPr>
                <w:rFonts w:hint="eastAsia" w:ascii="宋体" w:hAnsi="宋体" w:cs="宋体"/>
                <w:b/>
                <w:szCs w:val="21"/>
              </w:rPr>
            </w:pPr>
            <w:r>
              <w:rPr>
                <w:rFonts w:hint="eastAsia" w:ascii="宋体" w:hAnsi="宋体" w:cs="宋体"/>
                <w:b/>
                <w:szCs w:val="21"/>
              </w:rPr>
              <w:t>电话</w:t>
            </w:r>
          </w:p>
        </w:tc>
        <w:tc>
          <w:tcPr>
            <w:tcW w:w="1678" w:type="dxa"/>
            <w:gridSpan w:val="2"/>
            <w:vAlign w:val="center"/>
          </w:tcPr>
          <w:p>
            <w:pPr>
              <w:jc w:val="center"/>
              <w:rPr>
                <w:rFonts w:hint="eastAsia" w:ascii="宋体" w:hAnsi="宋体" w:cs="宋体"/>
                <w:b/>
                <w:szCs w:val="21"/>
              </w:rPr>
            </w:pPr>
          </w:p>
        </w:tc>
        <w:tc>
          <w:tcPr>
            <w:tcW w:w="1768" w:type="dxa"/>
            <w:vAlign w:val="center"/>
          </w:tcPr>
          <w:p>
            <w:pPr>
              <w:jc w:val="center"/>
              <w:rPr>
                <w:rFonts w:hint="eastAsia" w:ascii="宋体" w:hAnsi="宋体" w:cs="宋体"/>
                <w:b/>
                <w:szCs w:val="21"/>
              </w:rPr>
            </w:pPr>
            <w:r>
              <w:rPr>
                <w:rFonts w:hint="eastAsia" w:ascii="宋体" w:hAnsi="宋体" w:cs="宋体"/>
                <w:b/>
                <w:szCs w:val="21"/>
              </w:rPr>
              <w:t>移动电话</w:t>
            </w:r>
          </w:p>
        </w:tc>
        <w:tc>
          <w:tcPr>
            <w:tcW w:w="1805" w:type="dxa"/>
            <w:gridSpan w:val="2"/>
            <w:vAlign w:val="center"/>
          </w:tcPr>
          <w:p>
            <w:pPr>
              <w:jc w:val="center"/>
              <w:rPr>
                <w:rFonts w:hint="eastAsia"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0689" w:type="dxa"/>
            <w:gridSpan w:val="12"/>
            <w:vAlign w:val="center"/>
          </w:tcPr>
          <w:p>
            <w:pPr>
              <w:jc w:val="center"/>
              <w:rPr>
                <w:rFonts w:hint="eastAsia" w:ascii="宋体" w:hAnsi="宋体" w:cs="宋体"/>
                <w:b/>
                <w:szCs w:val="21"/>
              </w:rPr>
            </w:pPr>
            <w:r>
              <w:rPr>
                <w:rFonts w:hint="eastAsia" w:ascii="宋体" w:hAnsi="宋体" w:cs="宋体"/>
                <w:b/>
                <w:bCs/>
                <w:szCs w:val="21"/>
              </w:rPr>
              <w:t>服务中心主要专业技术人员情况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943" w:type="dxa"/>
            <w:vAlign w:val="center"/>
          </w:tcPr>
          <w:p>
            <w:pPr>
              <w:jc w:val="center"/>
              <w:rPr>
                <w:rFonts w:hint="eastAsia" w:ascii="宋体" w:hAnsi="宋体" w:cs="宋体"/>
                <w:b/>
                <w:szCs w:val="21"/>
              </w:rPr>
            </w:pPr>
            <w:r>
              <w:rPr>
                <w:rFonts w:hint="eastAsia" w:ascii="宋体" w:hAnsi="宋体" w:cs="宋体"/>
                <w:b/>
                <w:bCs/>
                <w:szCs w:val="21"/>
              </w:rPr>
              <w:t>姓名</w:t>
            </w:r>
          </w:p>
        </w:tc>
        <w:tc>
          <w:tcPr>
            <w:tcW w:w="774" w:type="dxa"/>
            <w:vAlign w:val="center"/>
          </w:tcPr>
          <w:p>
            <w:pPr>
              <w:jc w:val="center"/>
              <w:rPr>
                <w:rFonts w:hint="eastAsia" w:ascii="宋体" w:hAnsi="宋体" w:cs="宋体"/>
                <w:b/>
                <w:szCs w:val="21"/>
              </w:rPr>
            </w:pPr>
            <w:r>
              <w:rPr>
                <w:rFonts w:hint="eastAsia" w:ascii="宋体" w:hAnsi="宋体" w:cs="宋体"/>
                <w:b/>
                <w:bCs/>
                <w:szCs w:val="21"/>
              </w:rPr>
              <w:t>职位</w:t>
            </w:r>
          </w:p>
        </w:tc>
        <w:tc>
          <w:tcPr>
            <w:tcW w:w="1325" w:type="dxa"/>
            <w:gridSpan w:val="2"/>
            <w:vAlign w:val="center"/>
          </w:tcPr>
          <w:p>
            <w:pPr>
              <w:jc w:val="center"/>
              <w:rPr>
                <w:rFonts w:hint="eastAsia" w:ascii="宋体" w:hAnsi="宋体" w:cs="宋体"/>
                <w:b/>
                <w:szCs w:val="21"/>
              </w:rPr>
            </w:pPr>
            <w:r>
              <w:rPr>
                <w:rFonts w:hint="eastAsia" w:ascii="宋体" w:hAnsi="宋体" w:cs="宋体"/>
                <w:b/>
                <w:bCs/>
              </w:rPr>
              <w:t>职责</w:t>
            </w:r>
          </w:p>
        </w:tc>
        <w:tc>
          <w:tcPr>
            <w:tcW w:w="891" w:type="dxa"/>
            <w:vAlign w:val="center"/>
          </w:tcPr>
          <w:p>
            <w:pPr>
              <w:jc w:val="center"/>
              <w:rPr>
                <w:rFonts w:hint="eastAsia" w:ascii="宋体" w:hAnsi="宋体" w:cs="宋体"/>
                <w:b/>
                <w:szCs w:val="21"/>
              </w:rPr>
            </w:pPr>
            <w:r>
              <w:rPr>
                <w:rFonts w:hint="eastAsia" w:ascii="宋体" w:hAnsi="宋体" w:cs="宋体"/>
                <w:b/>
                <w:bCs/>
                <w:szCs w:val="21"/>
              </w:rPr>
              <w:t>学历/专业</w:t>
            </w:r>
          </w:p>
        </w:tc>
        <w:tc>
          <w:tcPr>
            <w:tcW w:w="2420" w:type="dxa"/>
            <w:gridSpan w:val="3"/>
            <w:vAlign w:val="center"/>
          </w:tcPr>
          <w:p>
            <w:pPr>
              <w:jc w:val="center"/>
              <w:rPr>
                <w:rFonts w:hint="eastAsia" w:ascii="宋体" w:hAnsi="宋体" w:cs="宋体"/>
                <w:b/>
                <w:szCs w:val="21"/>
              </w:rPr>
            </w:pPr>
            <w:r>
              <w:rPr>
                <w:rFonts w:hint="eastAsia" w:ascii="宋体" w:hAnsi="宋体" w:cs="宋体"/>
                <w:b/>
                <w:bCs/>
              </w:rPr>
              <w:t>获得资格证书</w:t>
            </w:r>
          </w:p>
        </w:tc>
        <w:tc>
          <w:tcPr>
            <w:tcW w:w="3335" w:type="dxa"/>
            <w:gridSpan w:val="3"/>
            <w:vAlign w:val="center"/>
          </w:tcPr>
          <w:p>
            <w:pPr>
              <w:jc w:val="center"/>
              <w:rPr>
                <w:rFonts w:hint="eastAsia" w:ascii="宋体" w:hAnsi="宋体" w:cs="宋体"/>
                <w:b/>
                <w:szCs w:val="21"/>
              </w:rPr>
            </w:pPr>
            <w:r>
              <w:rPr>
                <w:rFonts w:hint="eastAsia" w:ascii="宋体" w:hAnsi="宋体" w:cs="宋体"/>
                <w:b/>
                <w:bCs/>
              </w:rPr>
              <w:t>主要资历、经验及承担过的项目</w:t>
            </w:r>
          </w:p>
        </w:tc>
        <w:tc>
          <w:tcPr>
            <w:tcW w:w="1001" w:type="dxa"/>
            <w:vAlign w:val="center"/>
          </w:tcPr>
          <w:p>
            <w:pPr>
              <w:jc w:val="center"/>
              <w:rPr>
                <w:rFonts w:hint="eastAsia" w:ascii="宋体" w:hAnsi="宋体" w:cs="宋体"/>
                <w:b/>
                <w:szCs w:val="21"/>
              </w:rPr>
            </w:pPr>
            <w:r>
              <w:rPr>
                <w:rFonts w:hint="eastAsia" w:ascii="宋体" w:hAnsi="宋体" w:cs="宋体"/>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3" w:type="dxa"/>
            <w:vAlign w:val="center"/>
          </w:tcPr>
          <w:p>
            <w:pPr>
              <w:jc w:val="center"/>
              <w:rPr>
                <w:rFonts w:hint="eastAsia" w:ascii="宋体" w:hAnsi="宋体" w:cs="宋体"/>
                <w:b/>
                <w:bCs/>
                <w:szCs w:val="21"/>
              </w:rPr>
            </w:pPr>
          </w:p>
        </w:tc>
        <w:tc>
          <w:tcPr>
            <w:tcW w:w="774" w:type="dxa"/>
            <w:vAlign w:val="center"/>
          </w:tcPr>
          <w:p>
            <w:pPr>
              <w:jc w:val="center"/>
              <w:rPr>
                <w:rFonts w:hint="eastAsia" w:ascii="宋体" w:hAnsi="宋体" w:cs="宋体"/>
                <w:b/>
                <w:bCs/>
                <w:szCs w:val="21"/>
              </w:rPr>
            </w:pPr>
          </w:p>
        </w:tc>
        <w:tc>
          <w:tcPr>
            <w:tcW w:w="1325" w:type="dxa"/>
            <w:gridSpan w:val="2"/>
            <w:vAlign w:val="center"/>
          </w:tcPr>
          <w:p>
            <w:pPr>
              <w:jc w:val="center"/>
              <w:rPr>
                <w:rFonts w:hint="eastAsia" w:ascii="宋体" w:hAnsi="宋体" w:cs="宋体"/>
                <w:b/>
                <w:bCs/>
              </w:rPr>
            </w:pPr>
          </w:p>
        </w:tc>
        <w:tc>
          <w:tcPr>
            <w:tcW w:w="891" w:type="dxa"/>
            <w:vAlign w:val="center"/>
          </w:tcPr>
          <w:p>
            <w:pPr>
              <w:jc w:val="center"/>
              <w:rPr>
                <w:rFonts w:hint="eastAsia" w:ascii="宋体" w:hAnsi="宋体" w:cs="宋体"/>
                <w:b/>
                <w:bCs/>
                <w:szCs w:val="21"/>
              </w:rPr>
            </w:pPr>
          </w:p>
        </w:tc>
        <w:tc>
          <w:tcPr>
            <w:tcW w:w="2420" w:type="dxa"/>
            <w:gridSpan w:val="3"/>
            <w:vAlign w:val="center"/>
          </w:tcPr>
          <w:p>
            <w:pPr>
              <w:jc w:val="center"/>
              <w:rPr>
                <w:rFonts w:hint="eastAsia" w:ascii="宋体" w:hAnsi="宋体" w:cs="宋体"/>
                <w:b/>
                <w:bCs/>
              </w:rPr>
            </w:pPr>
          </w:p>
        </w:tc>
        <w:tc>
          <w:tcPr>
            <w:tcW w:w="3335" w:type="dxa"/>
            <w:gridSpan w:val="3"/>
            <w:vAlign w:val="center"/>
          </w:tcPr>
          <w:p>
            <w:pPr>
              <w:jc w:val="center"/>
              <w:rPr>
                <w:rFonts w:hint="eastAsia" w:ascii="宋体" w:hAnsi="宋体" w:cs="宋体"/>
                <w:b/>
                <w:bCs/>
              </w:rPr>
            </w:pPr>
          </w:p>
        </w:tc>
        <w:tc>
          <w:tcPr>
            <w:tcW w:w="1001" w:type="dxa"/>
            <w:vAlign w:val="center"/>
          </w:tcPr>
          <w:p>
            <w:pPr>
              <w:jc w:val="center"/>
              <w:rPr>
                <w:rFonts w:hint="eastAsia" w:ascii="宋体" w:hAnsi="宋体" w:cs="宋体"/>
                <w:b/>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689" w:type="dxa"/>
            <w:gridSpan w:val="12"/>
            <w:vAlign w:val="center"/>
          </w:tcPr>
          <w:p>
            <w:pPr>
              <w:jc w:val="center"/>
              <w:rPr>
                <w:rFonts w:hint="eastAsia" w:ascii="宋体" w:hAnsi="宋体" w:cs="宋体"/>
                <w:b/>
                <w:bCs/>
                <w:szCs w:val="21"/>
              </w:rPr>
            </w:pPr>
            <w:r>
              <w:rPr>
                <w:rFonts w:hint="eastAsia" w:ascii="宋体" w:hAnsi="宋体" w:cs="宋体"/>
                <w:b/>
                <w:bCs/>
              </w:rPr>
              <w:t>（此表可延长）</w:t>
            </w:r>
          </w:p>
        </w:tc>
      </w:tr>
    </w:tbl>
    <w:p>
      <w:pPr>
        <w:pStyle w:val="23"/>
        <w:spacing w:before="120" w:after="120" w:line="360" w:lineRule="auto"/>
        <w:rPr>
          <w:rFonts w:hint="eastAsia" w:hAnsi="宋体" w:cs="宋体"/>
          <w:b/>
          <w:szCs w:val="24"/>
        </w:rPr>
      </w:pPr>
      <w:r>
        <w:rPr>
          <w:rFonts w:hint="eastAsia" w:hAnsi="宋体" w:cs="宋体"/>
          <w:b/>
        </w:rPr>
        <w:t>注：提供相关证明文件</w:t>
      </w:r>
      <w:r>
        <w:rPr>
          <w:rFonts w:hint="eastAsia" w:hAnsi="宋体" w:cs="宋体"/>
          <w:b/>
          <w:highlight w:val="none"/>
        </w:rPr>
        <w:t>及</w:t>
      </w:r>
      <w:r>
        <w:rPr>
          <w:rFonts w:hint="eastAsia" w:hAnsi="宋体" w:cs="宋体"/>
          <w:b/>
          <w:szCs w:val="24"/>
          <w:highlight w:val="none"/>
        </w:rPr>
        <w:t>20</w:t>
      </w:r>
      <w:r>
        <w:rPr>
          <w:rFonts w:hint="eastAsia" w:hAnsi="宋体" w:cs="宋体"/>
          <w:b/>
          <w:szCs w:val="24"/>
          <w:highlight w:val="none"/>
          <w:lang w:val="en-US" w:eastAsia="zh-CN"/>
        </w:rPr>
        <w:t>19</w:t>
      </w:r>
      <w:r>
        <w:rPr>
          <w:rFonts w:hint="eastAsia" w:hAnsi="宋体" w:cs="宋体"/>
          <w:b/>
          <w:szCs w:val="24"/>
          <w:highlight w:val="none"/>
        </w:rPr>
        <w:t>年</w:t>
      </w:r>
      <w:r>
        <w:rPr>
          <w:rFonts w:hint="eastAsia" w:hAnsi="宋体" w:cs="宋体"/>
          <w:b/>
          <w:szCs w:val="24"/>
          <w:highlight w:val="none"/>
          <w:lang w:val="en-US" w:eastAsia="zh-CN"/>
        </w:rPr>
        <w:t>10</w:t>
      </w:r>
      <w:r>
        <w:rPr>
          <w:rFonts w:hint="eastAsia" w:hAnsi="宋体" w:cs="宋体"/>
          <w:b/>
          <w:szCs w:val="24"/>
          <w:highlight w:val="none"/>
        </w:rPr>
        <w:t>-</w:t>
      </w:r>
      <w:r>
        <w:rPr>
          <w:rFonts w:hint="eastAsia" w:hAnsi="宋体" w:cs="宋体"/>
          <w:b/>
          <w:szCs w:val="24"/>
          <w:highlight w:val="none"/>
          <w:lang w:val="en-US" w:eastAsia="zh-CN"/>
        </w:rPr>
        <w:t>2020年3月任意连续3个月</w:t>
      </w:r>
      <w:r>
        <w:rPr>
          <w:rFonts w:hint="eastAsia" w:hAnsi="宋体" w:cs="宋体"/>
          <w:b/>
          <w:szCs w:val="24"/>
          <w:highlight w:val="none"/>
        </w:rPr>
        <w:t>由投标单位</w:t>
      </w:r>
      <w:r>
        <w:rPr>
          <w:rFonts w:hint="eastAsia" w:hAnsi="宋体" w:cs="宋体"/>
          <w:b/>
          <w:szCs w:val="24"/>
        </w:rPr>
        <w:t>购买的社保证明,投标时提供原件查验。</w:t>
      </w:r>
    </w:p>
    <w:p>
      <w:pPr>
        <w:spacing w:line="400" w:lineRule="exact"/>
        <w:ind w:firstLine="4725" w:firstLineChars="2250"/>
        <w:rPr>
          <w:rFonts w:hint="eastAsia" w:ascii="宋体" w:hAnsi="宋体" w:cs="宋体"/>
          <w:szCs w:val="21"/>
        </w:rPr>
      </w:pPr>
      <w:bookmarkStart w:id="78" w:name="_Toc421205761"/>
      <w:bookmarkStart w:id="79" w:name="_Toc420684764"/>
      <w:bookmarkStart w:id="80" w:name="_Toc421004198"/>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bookmarkEnd w:id="78"/>
    <w:bookmarkEnd w:id="79"/>
    <w:bookmarkEnd w:id="80"/>
    <w:p>
      <w:pPr>
        <w:spacing w:before="120" w:after="120"/>
        <w:rPr>
          <w:rFonts w:hint="eastAsia" w:ascii="宋体" w:hAnsi="宋体" w:cs="宋体"/>
          <w:sz w:val="28"/>
          <w:szCs w:val="28"/>
        </w:rPr>
      </w:pPr>
      <w:bookmarkStart w:id="81" w:name="_Toc420684768"/>
      <w:bookmarkStart w:id="82" w:name="_Toc421004202"/>
      <w:bookmarkStart w:id="83" w:name="_Toc421205765"/>
      <w:r>
        <w:rPr>
          <w:rFonts w:hint="eastAsia" w:ascii="宋体" w:hAnsi="宋体" w:cs="宋体"/>
          <w:sz w:val="28"/>
          <w:szCs w:val="28"/>
        </w:rPr>
        <w:t>表5-</w:t>
      </w:r>
      <w:bookmarkEnd w:id="81"/>
      <w:r>
        <w:rPr>
          <w:rFonts w:hint="eastAsia" w:ascii="宋体" w:hAnsi="宋体" w:cs="宋体"/>
          <w:sz w:val="28"/>
          <w:szCs w:val="28"/>
          <w:lang w:val="en-US" w:eastAsia="zh-CN"/>
        </w:rPr>
        <w:t>9</w:t>
      </w:r>
      <w:r>
        <w:rPr>
          <w:rFonts w:hint="eastAsia" w:ascii="宋体" w:hAnsi="宋体" w:cs="宋体"/>
          <w:sz w:val="28"/>
          <w:szCs w:val="28"/>
        </w:rPr>
        <w:t xml:space="preserve">  </w:t>
      </w:r>
      <w:r>
        <w:rPr>
          <w:rFonts w:hint="eastAsia" w:ascii="宋体" w:hAnsi="宋体" w:cs="宋体"/>
          <w:sz w:val="28"/>
          <w:szCs w:val="28"/>
          <w:lang w:eastAsia="zh-CN"/>
        </w:rPr>
        <w:t>近</w:t>
      </w:r>
      <w:r>
        <w:rPr>
          <w:rFonts w:hint="eastAsia" w:ascii="宋体" w:hAnsi="宋体" w:cs="宋体"/>
          <w:sz w:val="28"/>
          <w:szCs w:val="28"/>
          <w:lang w:val="en-US" w:eastAsia="zh-CN"/>
        </w:rPr>
        <w:t>2年</w:t>
      </w:r>
      <w:r>
        <w:rPr>
          <w:rFonts w:hint="eastAsia" w:ascii="宋体" w:hAnsi="宋体" w:cs="宋体"/>
          <w:sz w:val="28"/>
          <w:szCs w:val="20"/>
        </w:rPr>
        <w:t>承接的同类项目</w:t>
      </w:r>
      <w:r>
        <w:rPr>
          <w:rFonts w:hint="eastAsia" w:ascii="宋体" w:hAnsi="宋体" w:cs="宋体"/>
          <w:sz w:val="28"/>
          <w:szCs w:val="20"/>
          <w:lang w:eastAsia="zh-CN"/>
        </w:rPr>
        <w:t>业绩</w:t>
      </w:r>
      <w:r>
        <w:rPr>
          <w:rFonts w:hint="eastAsia" w:ascii="宋体" w:hAnsi="宋体" w:cs="宋体"/>
          <w:sz w:val="28"/>
          <w:szCs w:val="20"/>
        </w:rPr>
        <w:t>一览表</w:t>
      </w:r>
      <w:bookmarkEnd w:id="82"/>
      <w:bookmarkEnd w:id="83"/>
    </w:p>
    <w:p>
      <w:pPr>
        <w:spacing w:line="360" w:lineRule="auto"/>
        <w:rPr>
          <w:rFonts w:hint="eastAsia"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47"/>
        <w:tblW w:w="946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294"/>
        <w:gridCol w:w="1367"/>
        <w:gridCol w:w="1294"/>
        <w:gridCol w:w="2349"/>
        <w:gridCol w:w="23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765" w:type="dxa"/>
            <w:tcBorders>
              <w:top w:val="double" w:color="auto" w:sz="4" w:space="0"/>
              <w:left w:val="double" w:color="auto" w:sz="4"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序号</w:t>
            </w:r>
          </w:p>
        </w:tc>
        <w:tc>
          <w:tcPr>
            <w:tcW w:w="1294"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项目名称</w:t>
            </w:r>
          </w:p>
        </w:tc>
        <w:tc>
          <w:tcPr>
            <w:tcW w:w="1367"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主要产品</w:t>
            </w:r>
          </w:p>
        </w:tc>
        <w:tc>
          <w:tcPr>
            <w:tcW w:w="1294"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合同金额</w:t>
            </w:r>
          </w:p>
        </w:tc>
        <w:tc>
          <w:tcPr>
            <w:tcW w:w="2349" w:type="dxa"/>
            <w:tcBorders>
              <w:top w:val="double" w:color="auto" w:sz="4" w:space="0"/>
              <w:left w:val="single" w:color="auto" w:sz="6" w:space="0"/>
              <w:bottom w:val="single" w:color="auto" w:sz="6" w:space="0"/>
              <w:right w:val="single" w:color="auto" w:sz="6" w:space="0"/>
            </w:tcBorders>
            <w:shd w:val="clear" w:color="auto" w:fill="D9D9D9"/>
            <w:vAlign w:val="center"/>
          </w:tcPr>
          <w:p>
            <w:pPr>
              <w:jc w:val="center"/>
              <w:rPr>
                <w:rFonts w:hint="eastAsia" w:ascii="宋体" w:hAnsi="宋体" w:cs="宋体"/>
                <w:b/>
              </w:rPr>
            </w:pPr>
            <w:r>
              <w:rPr>
                <w:rFonts w:hint="eastAsia" w:ascii="宋体" w:hAnsi="宋体" w:cs="宋体"/>
                <w:b/>
              </w:rPr>
              <w:t>完成时间</w:t>
            </w:r>
          </w:p>
        </w:tc>
        <w:tc>
          <w:tcPr>
            <w:tcW w:w="2399" w:type="dxa"/>
            <w:tcBorders>
              <w:top w:val="double" w:color="auto" w:sz="4" w:space="0"/>
              <w:left w:val="single" w:color="auto" w:sz="6" w:space="0"/>
              <w:bottom w:val="single" w:color="auto" w:sz="6" w:space="0"/>
              <w:right w:val="double" w:color="auto" w:sz="4" w:space="0"/>
            </w:tcBorders>
            <w:shd w:val="clear" w:color="auto" w:fill="D9D9D9"/>
            <w:vAlign w:val="center"/>
          </w:tcPr>
          <w:p>
            <w:pPr>
              <w:jc w:val="center"/>
              <w:rPr>
                <w:rFonts w:hint="eastAsia" w:ascii="宋体" w:hAnsi="宋体" w:cs="宋体"/>
                <w:b/>
              </w:rPr>
            </w:pPr>
            <w:r>
              <w:rPr>
                <w:rFonts w:hint="eastAsia" w:ascii="宋体" w:hAnsi="宋体" w:cs="宋体"/>
                <w:b/>
              </w:rPr>
              <w:t>项目单位联系人电话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pStyle w:val="73"/>
              <w:spacing w:before="156" w:after="156" w:line="400" w:lineRule="exact"/>
              <w:rPr>
                <w:rFonts w:hint="eastAsia" w:ascii="宋体" w:hAnsi="宋体" w:cs="宋体"/>
                <w:spacing w:val="0"/>
                <w:kern w:val="2"/>
                <w:szCs w:val="24"/>
              </w:rPr>
            </w:pPr>
            <w:r>
              <w:rPr>
                <w:rFonts w:hint="eastAsia" w:ascii="宋体" w:hAnsi="宋体" w:cs="宋体"/>
                <w:spacing w:val="0"/>
                <w:kern w:val="2"/>
                <w:szCs w:val="24"/>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single" w:color="auto" w:sz="6"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single" w:color="auto" w:sz="6"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6" w:space="0"/>
              <w:left w:val="double" w:color="auto" w:sz="4"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367"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1294"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49" w:type="dxa"/>
            <w:tcBorders>
              <w:top w:val="single" w:color="auto" w:sz="6" w:space="0"/>
              <w:left w:val="single" w:color="auto" w:sz="6" w:space="0"/>
              <w:bottom w:val="double" w:color="auto" w:sz="4" w:space="0"/>
              <w:right w:val="single" w:color="auto" w:sz="6" w:space="0"/>
            </w:tcBorders>
            <w:vAlign w:val="top"/>
          </w:tcPr>
          <w:p>
            <w:pPr>
              <w:spacing w:before="156" w:after="156" w:line="400" w:lineRule="exact"/>
              <w:rPr>
                <w:rFonts w:hint="eastAsia" w:ascii="宋体" w:hAnsi="宋体" w:cs="宋体"/>
              </w:rPr>
            </w:pPr>
            <w:r>
              <w:rPr>
                <w:rFonts w:hint="eastAsia" w:ascii="宋体" w:hAnsi="宋体" w:cs="宋体"/>
              </w:rPr>
              <w:t> </w:t>
            </w:r>
          </w:p>
        </w:tc>
        <w:tc>
          <w:tcPr>
            <w:tcW w:w="2399" w:type="dxa"/>
            <w:tcBorders>
              <w:top w:val="single" w:color="auto" w:sz="6" w:space="0"/>
              <w:left w:val="single" w:color="auto" w:sz="6" w:space="0"/>
              <w:bottom w:val="double" w:color="auto" w:sz="4" w:space="0"/>
              <w:right w:val="double" w:color="auto" w:sz="4" w:space="0"/>
            </w:tcBorders>
            <w:vAlign w:val="top"/>
          </w:tcPr>
          <w:p>
            <w:pPr>
              <w:spacing w:before="156" w:after="156" w:line="400" w:lineRule="exact"/>
              <w:rPr>
                <w:rFonts w:hint="eastAsia" w:ascii="宋体" w:hAnsi="宋体" w:cs="宋体"/>
              </w:rPr>
            </w:pPr>
            <w:r>
              <w:rPr>
                <w:rFonts w:hint="eastAsia" w:ascii="宋体" w:hAnsi="宋体" w:cs="宋体"/>
              </w:rPr>
              <w:t> </w:t>
            </w:r>
          </w:p>
        </w:tc>
      </w:tr>
    </w:tbl>
    <w:p>
      <w:pPr>
        <w:spacing w:before="156" w:after="156" w:line="360" w:lineRule="auto"/>
        <w:rPr>
          <w:rFonts w:hint="eastAsia" w:ascii="宋体" w:hAnsi="宋体" w:cs="宋体"/>
          <w:b/>
          <w:bCs/>
          <w:szCs w:val="21"/>
        </w:rPr>
      </w:pPr>
      <w:r>
        <w:rPr>
          <w:rFonts w:hint="eastAsia" w:ascii="宋体" w:hAnsi="宋体" w:cs="宋体"/>
          <w:b/>
          <w:bCs/>
          <w:szCs w:val="21"/>
        </w:rPr>
        <w:t>注：投标人提供合同</w:t>
      </w:r>
      <w:r>
        <w:rPr>
          <w:rFonts w:hint="eastAsia" w:ascii="宋体" w:hAnsi="宋体" w:cs="宋体"/>
          <w:b/>
          <w:bCs/>
          <w:szCs w:val="21"/>
          <w:lang w:eastAsia="zh-CN"/>
        </w:rPr>
        <w:t>或验收报告</w:t>
      </w:r>
      <w:r>
        <w:rPr>
          <w:rFonts w:hint="eastAsia" w:ascii="宋体" w:hAnsi="宋体" w:cs="宋体"/>
          <w:b/>
          <w:bCs/>
          <w:szCs w:val="21"/>
        </w:rPr>
        <w:t>复印件，并加盖公章。开标时提供原件核查。</w:t>
      </w:r>
    </w:p>
    <w:p>
      <w:pPr>
        <w:spacing w:before="156" w:after="156" w:line="360" w:lineRule="auto"/>
        <w:rPr>
          <w:rFonts w:hint="eastAsia" w:ascii="宋体" w:hAnsi="宋体" w:cs="宋体"/>
          <w:szCs w:val="21"/>
        </w:rPr>
      </w:pPr>
      <w:r>
        <w:rPr>
          <w:rFonts w:hint="eastAsia" w:ascii="宋体" w:hAnsi="宋体" w:cs="宋体"/>
          <w:szCs w:val="21"/>
        </w:rPr>
        <w:t>（此表可延长）</w:t>
      </w:r>
    </w:p>
    <w:p>
      <w:pPr>
        <w:spacing w:before="156" w:after="156" w:line="360" w:lineRule="auto"/>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spacing w:line="360" w:lineRule="auto"/>
        <w:ind w:firstLine="4828" w:firstLineChars="2290"/>
        <w:rPr>
          <w:rFonts w:hint="eastAsia" w:ascii="宋体" w:hAnsi="宋体" w:cs="宋体"/>
          <w:b/>
          <w:bCs/>
        </w:rPr>
      </w:pPr>
    </w:p>
    <w:p>
      <w:pPr>
        <w:rPr>
          <w:rFonts w:hint="eastAsia" w:ascii="宋体" w:hAnsi="宋体" w:cs="宋体"/>
          <w:sz w:val="28"/>
          <w:szCs w:val="28"/>
        </w:rPr>
      </w:pPr>
      <w:bookmarkStart w:id="84" w:name="_Toc421205766"/>
      <w:bookmarkStart w:id="85" w:name="_Toc421004203"/>
      <w:bookmarkStart w:id="86" w:name="_Toc420684769"/>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10</w:t>
      </w:r>
      <w:r>
        <w:rPr>
          <w:rFonts w:hint="eastAsia" w:ascii="宋体" w:hAnsi="宋体" w:cs="宋体"/>
          <w:sz w:val="28"/>
          <w:szCs w:val="28"/>
        </w:rPr>
        <w:t xml:space="preserve">  投标保证金退还说明格式</w:t>
      </w:r>
    </w:p>
    <w:p>
      <w:pPr>
        <w:jc w:val="center"/>
        <w:rPr>
          <w:rFonts w:hint="eastAsia" w:ascii="宋体" w:hAnsi="宋体" w:cs="宋体"/>
          <w:sz w:val="28"/>
          <w:szCs w:val="28"/>
        </w:rPr>
      </w:pPr>
      <w:bookmarkStart w:id="87" w:name="_Toc421004204"/>
      <w:bookmarkStart w:id="88" w:name="_Toc420684770"/>
      <w:bookmarkStart w:id="89" w:name="_Toc421205767"/>
    </w:p>
    <w:p>
      <w:pPr>
        <w:jc w:val="center"/>
        <w:rPr>
          <w:rFonts w:hint="eastAsia" w:ascii="宋体" w:hAnsi="宋体" w:cs="宋体"/>
          <w:sz w:val="28"/>
          <w:szCs w:val="28"/>
        </w:rPr>
      </w:pPr>
      <w:r>
        <w:rPr>
          <w:rFonts w:hint="eastAsia" w:ascii="宋体" w:hAnsi="宋体" w:cs="宋体"/>
          <w:sz w:val="28"/>
          <w:szCs w:val="28"/>
        </w:rPr>
        <w:t>保证金退还说明</w:t>
      </w:r>
      <w:bookmarkEnd w:id="87"/>
      <w:bookmarkEnd w:id="88"/>
      <w:bookmarkEnd w:id="89"/>
    </w:p>
    <w:p>
      <w:pPr>
        <w:pStyle w:val="23"/>
        <w:jc w:val="center"/>
        <w:rPr>
          <w:rFonts w:hint="eastAsia" w:hAnsi="宋体" w:cs="宋体"/>
          <w:kern w:val="0"/>
        </w:rPr>
      </w:pPr>
    </w:p>
    <w:p>
      <w:pPr>
        <w:pStyle w:val="23"/>
        <w:spacing w:line="600" w:lineRule="auto"/>
        <w:rPr>
          <w:rFonts w:hint="eastAsia" w:hAnsi="宋体" w:cs="宋体"/>
          <w:b/>
        </w:rPr>
      </w:pPr>
      <w:r>
        <w:rPr>
          <w:rFonts w:hint="eastAsia" w:hAnsi="宋体" w:cs="宋体"/>
          <w:b/>
          <w:bCs/>
        </w:rPr>
        <w:t>致：</w:t>
      </w:r>
      <w:r>
        <w:rPr>
          <w:rFonts w:hint="eastAsia" w:hAnsi="宋体" w:cs="宋体"/>
          <w:lang w:eastAsia="zh-CN"/>
        </w:rPr>
        <w:t>广东钧信建设管理有限公司中山分公司</w:t>
      </w:r>
    </w:p>
    <w:p>
      <w:pPr>
        <w:pStyle w:val="23"/>
        <w:spacing w:line="600" w:lineRule="auto"/>
        <w:ind w:firstLine="420" w:firstLineChars="200"/>
        <w:rPr>
          <w:rFonts w:hint="eastAsia" w:hAnsi="宋体" w:cs="宋体"/>
          <w:kern w:val="0"/>
        </w:rPr>
      </w:pPr>
      <w:r>
        <w:rPr>
          <w:rFonts w:hint="eastAsia" w:hAnsi="宋体" w:cs="宋体"/>
        </w:rPr>
        <w:t>我方参加</w:t>
      </w:r>
      <w:r>
        <w:rPr>
          <w:rFonts w:hint="eastAsia" w:hAnsi="宋体" w:cs="宋体"/>
          <w:u w:val="single"/>
          <w:lang w:eastAsia="zh-CN"/>
        </w:rPr>
        <w:t>中山市坦洲镇污水处理有限公司消毒剂采购项目</w:t>
      </w:r>
      <w:r>
        <w:rPr>
          <w:rFonts w:hint="eastAsia" w:hAnsi="宋体" w:cs="宋体"/>
        </w:rPr>
        <w:t xml:space="preserve"> [项目编号：</w:t>
      </w:r>
      <w:r>
        <w:rPr>
          <w:rFonts w:hint="eastAsia" w:hAnsi="宋体" w:cs="宋体"/>
          <w:lang w:eastAsia="zh-CN"/>
        </w:rPr>
        <w:t>GDJX202004GK103</w:t>
      </w:r>
      <w:r>
        <w:rPr>
          <w:rFonts w:hint="eastAsia" w:hAnsi="宋体" w:cs="宋体"/>
        </w:rPr>
        <w:t>]所提交的投标保证金</w:t>
      </w:r>
      <w:r>
        <w:rPr>
          <w:rFonts w:hint="eastAsia" w:hAnsi="宋体" w:cs="宋体"/>
          <w:u w:val="single"/>
        </w:rPr>
        <w:t xml:space="preserve">            </w:t>
      </w:r>
      <w:r>
        <w:rPr>
          <w:rFonts w:hint="eastAsia" w:hAnsi="宋体" w:cs="宋体"/>
        </w:rPr>
        <w:t>元，请贵司退还时划到下列账户：</w:t>
      </w:r>
    </w:p>
    <w:p>
      <w:pPr>
        <w:pStyle w:val="23"/>
        <w:spacing w:line="600" w:lineRule="auto"/>
        <w:ind w:firstLine="420" w:firstLineChars="200"/>
        <w:rPr>
          <w:rFonts w:hint="eastAsia" w:hAnsi="宋体" w:cs="宋体"/>
        </w:rPr>
      </w:pPr>
      <w:r>
        <w:rPr>
          <w:rFonts w:hint="eastAsia" w:hAnsi="宋体" w:cs="宋体"/>
        </w:rPr>
        <w:t>收 款 单 位：</w:t>
      </w:r>
    </w:p>
    <w:p>
      <w:pPr>
        <w:pStyle w:val="23"/>
        <w:spacing w:line="600" w:lineRule="auto"/>
        <w:ind w:firstLine="420" w:firstLineChars="200"/>
        <w:rPr>
          <w:rFonts w:hint="eastAsia" w:hAnsi="宋体" w:cs="宋体"/>
          <w:kern w:val="0"/>
        </w:rPr>
      </w:pPr>
      <w:r>
        <w:rPr>
          <w:rFonts w:hint="eastAsia" w:hAnsi="宋体" w:cs="宋体"/>
        </w:rPr>
        <w:t>收款单位地址：</w:t>
      </w:r>
    </w:p>
    <w:p>
      <w:pPr>
        <w:pStyle w:val="23"/>
        <w:spacing w:line="600" w:lineRule="auto"/>
        <w:ind w:firstLine="420" w:firstLineChars="200"/>
        <w:rPr>
          <w:rFonts w:hint="eastAsia" w:hAnsi="宋体" w:cs="宋体"/>
        </w:rPr>
      </w:pPr>
      <w:r>
        <w:rPr>
          <w:rFonts w:hint="eastAsia" w:hAnsi="宋体" w:cs="宋体"/>
        </w:rPr>
        <w:t>开 户 银 行：</w:t>
      </w:r>
    </w:p>
    <w:p>
      <w:pPr>
        <w:pStyle w:val="23"/>
        <w:spacing w:line="600" w:lineRule="auto"/>
        <w:ind w:firstLine="420" w:firstLineChars="200"/>
        <w:rPr>
          <w:rFonts w:hint="eastAsia" w:hAnsi="宋体" w:cs="宋体"/>
          <w:kern w:val="0"/>
        </w:rPr>
      </w:pPr>
      <w:r>
        <w:rPr>
          <w:rFonts w:hint="eastAsia" w:hAnsi="宋体" w:cs="宋体"/>
        </w:rPr>
        <w:t>银行联行号：</w:t>
      </w:r>
    </w:p>
    <w:p>
      <w:pPr>
        <w:pStyle w:val="23"/>
        <w:spacing w:line="600" w:lineRule="auto"/>
        <w:ind w:firstLine="420" w:firstLineChars="200"/>
        <w:rPr>
          <w:rFonts w:hint="eastAsia" w:hAnsi="宋体" w:cs="宋体"/>
        </w:rPr>
      </w:pPr>
      <w:r>
        <w:rPr>
          <w:rFonts w:hint="eastAsia" w:hAnsi="宋体" w:cs="宋体"/>
        </w:rPr>
        <w:t>账       号：</w:t>
      </w:r>
    </w:p>
    <w:p>
      <w:pPr>
        <w:pStyle w:val="23"/>
        <w:spacing w:line="600" w:lineRule="auto"/>
        <w:ind w:firstLine="420" w:firstLineChars="200"/>
        <w:rPr>
          <w:rFonts w:hint="eastAsia" w:hAnsi="宋体" w:cs="宋体"/>
        </w:rPr>
      </w:pPr>
      <w:r>
        <w:rPr>
          <w:rFonts w:hint="eastAsia" w:hAnsi="宋体" w:cs="宋体"/>
        </w:rPr>
        <w:t>联   系  人：</w:t>
      </w:r>
    </w:p>
    <w:p>
      <w:pPr>
        <w:pStyle w:val="23"/>
        <w:spacing w:line="600" w:lineRule="auto"/>
        <w:ind w:firstLine="420" w:firstLineChars="200"/>
        <w:rPr>
          <w:rFonts w:hint="eastAsia" w:hAnsi="宋体" w:cs="宋体"/>
        </w:rPr>
      </w:pPr>
      <w:r>
        <w:rPr>
          <w:rFonts w:hint="eastAsia" w:hAnsi="宋体" w:cs="宋体"/>
        </w:rPr>
        <w:t>联 系 电 话：</w:t>
      </w:r>
    </w:p>
    <w:p>
      <w:pPr>
        <w:pStyle w:val="23"/>
        <w:spacing w:line="600" w:lineRule="auto"/>
        <w:ind w:firstLine="420" w:firstLineChars="200"/>
        <w:rPr>
          <w:rFonts w:hint="eastAsia" w:hAnsi="宋体" w:cs="宋体"/>
        </w:rPr>
      </w:pPr>
    </w:p>
    <w:p>
      <w:pPr>
        <w:pStyle w:val="23"/>
        <w:spacing w:line="600" w:lineRule="auto"/>
        <w:ind w:firstLine="420" w:firstLineChars="200"/>
        <w:rPr>
          <w:rFonts w:hint="eastAsia" w:hAnsi="宋体" w:cs="宋体"/>
        </w:rPr>
      </w:pPr>
    </w:p>
    <w:p>
      <w:pPr>
        <w:spacing w:line="360" w:lineRule="auto"/>
        <w:rPr>
          <w:rFonts w:hint="eastAsia" w:ascii="宋体" w:hAnsi="宋体" w:cs="宋体"/>
          <w:szCs w:val="21"/>
        </w:rPr>
      </w:pPr>
      <w:r>
        <w:rPr>
          <w:rFonts w:hint="eastAsia" w:ascii="宋体" w:hAnsi="宋体" w:cs="宋体"/>
          <w:szCs w:val="21"/>
        </w:rPr>
        <w:t xml:space="preserve">                                          投标人名称（加盖公章）：</w:t>
      </w:r>
    </w:p>
    <w:p>
      <w:pPr>
        <w:spacing w:line="360" w:lineRule="auto"/>
        <w:ind w:firstLine="5399" w:firstLineChars="2571"/>
        <w:rPr>
          <w:rFonts w:hint="eastAsia" w:ascii="宋体" w:hAnsi="宋体" w:cs="宋体"/>
          <w:szCs w:val="21"/>
        </w:rPr>
      </w:pPr>
    </w:p>
    <w:p>
      <w:pPr>
        <w:spacing w:line="360" w:lineRule="auto"/>
        <w:jc w:val="center"/>
        <w:rPr>
          <w:rFonts w:hint="eastAsia" w:ascii="宋体" w:hAnsi="宋体" w:cs="宋体"/>
          <w:szCs w:val="21"/>
        </w:rPr>
      </w:pPr>
      <w:r>
        <w:rPr>
          <w:rFonts w:hint="eastAsia" w:ascii="宋体" w:hAnsi="宋体" w:cs="宋体"/>
          <w:szCs w:val="21"/>
        </w:rPr>
        <w:t xml:space="preserve">                           法定代表人或授权委托人（签名或盖章）： </w:t>
      </w:r>
    </w:p>
    <w:p>
      <w:pPr>
        <w:spacing w:line="360" w:lineRule="auto"/>
        <w:ind w:firstLine="5399" w:firstLineChars="2571"/>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日  期：</w:t>
      </w:r>
    </w:p>
    <w:p>
      <w:pPr>
        <w:rPr>
          <w:rFonts w:hint="eastAsia" w:ascii="宋体" w:hAnsi="宋体" w:cs="宋体"/>
        </w:rPr>
      </w:pPr>
    </w:p>
    <w:p>
      <w:pPr>
        <w:rPr>
          <w:rFonts w:hint="eastAsia"/>
        </w:rPr>
      </w:pPr>
    </w:p>
    <w:p>
      <w:pPr>
        <w:rPr>
          <w:rFonts w:hint="eastAsia" w:ascii="宋体" w:hAnsi="宋体" w:cs="宋体"/>
          <w:sz w:val="28"/>
          <w:szCs w:val="28"/>
        </w:rPr>
      </w:pPr>
    </w:p>
    <w:p>
      <w:pPr>
        <w:pStyle w:val="2"/>
        <w:rPr>
          <w:rFonts w:hint="eastAsia"/>
        </w:rPr>
      </w:pPr>
    </w:p>
    <w:p>
      <w:pPr>
        <w:rPr>
          <w:rFonts w:hint="eastAsia"/>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11</w:t>
      </w:r>
      <w:r>
        <w:rPr>
          <w:rFonts w:hint="eastAsia" w:ascii="宋体" w:hAnsi="宋体" w:cs="宋体"/>
          <w:sz w:val="28"/>
          <w:szCs w:val="28"/>
        </w:rPr>
        <w:t xml:space="preserve"> </w:t>
      </w:r>
      <w:bookmarkEnd w:id="84"/>
      <w:bookmarkEnd w:id="85"/>
      <w:bookmarkEnd w:id="86"/>
      <w:bookmarkStart w:id="90" w:name="_Toc420684771"/>
      <w:bookmarkStart w:id="91" w:name="_Toc421205768"/>
      <w:bookmarkStart w:id="92" w:name="_Toc421004205"/>
      <w:r>
        <w:rPr>
          <w:rFonts w:hint="eastAsia" w:ascii="宋体" w:hAnsi="宋体" w:cs="宋体"/>
          <w:sz w:val="28"/>
          <w:szCs w:val="28"/>
        </w:rPr>
        <w:t xml:space="preserve"> 中标服务费承诺书</w:t>
      </w:r>
      <w:bookmarkEnd w:id="90"/>
      <w:bookmarkEnd w:id="91"/>
      <w:bookmarkEnd w:id="92"/>
    </w:p>
    <w:p>
      <w:pPr>
        <w:spacing w:line="480" w:lineRule="auto"/>
        <w:rPr>
          <w:rFonts w:hint="eastAsia" w:ascii="宋体" w:hAnsi="宋体" w:cs="宋体"/>
          <w:sz w:val="24"/>
        </w:rPr>
      </w:pPr>
    </w:p>
    <w:p>
      <w:pPr>
        <w:spacing w:line="480" w:lineRule="auto"/>
        <w:jc w:val="right"/>
        <w:rPr>
          <w:rFonts w:hint="eastAsia" w:ascii="宋体" w:hAnsi="宋体" w:cs="宋体"/>
        </w:rPr>
      </w:pPr>
      <w:bookmarkStart w:id="93" w:name="_Toc421004206"/>
      <w:bookmarkStart w:id="94" w:name="_Toc421205769"/>
      <w:bookmarkStart w:id="95" w:name="_Toc420684772"/>
      <w:r>
        <w:rPr>
          <w:rFonts w:hint="eastAsia" w:ascii="宋体" w:hAnsi="宋体" w:cs="宋体"/>
        </w:rPr>
        <w:t>承诺书号：</w:t>
      </w:r>
      <w:bookmarkEnd w:id="93"/>
      <w:bookmarkEnd w:id="94"/>
      <w:bookmarkEnd w:id="95"/>
      <w:r>
        <w:rPr>
          <w:rFonts w:hint="eastAsia" w:ascii="宋体" w:hAnsi="宋体" w:cs="宋体"/>
          <w:szCs w:val="21"/>
          <w:lang w:eastAsia="zh-CN"/>
        </w:rPr>
        <w:t>GDJX202004GK103</w:t>
      </w:r>
    </w:p>
    <w:p>
      <w:pPr>
        <w:spacing w:line="480" w:lineRule="auto"/>
        <w:rPr>
          <w:rFonts w:hint="eastAsia" w:ascii="宋体" w:hAnsi="宋体" w:cs="宋体"/>
          <w:b/>
          <w:szCs w:val="21"/>
        </w:rPr>
      </w:pPr>
      <w:r>
        <w:rPr>
          <w:rFonts w:hint="eastAsia" w:ascii="宋体" w:hAnsi="宋体" w:cs="宋体"/>
          <w:b/>
          <w:szCs w:val="21"/>
        </w:rPr>
        <w:t>致：</w:t>
      </w:r>
      <w:r>
        <w:rPr>
          <w:rFonts w:hint="eastAsia" w:ascii="宋体" w:hAnsi="宋体" w:cs="宋体"/>
          <w:b/>
          <w:bCs/>
          <w:lang w:eastAsia="zh-CN"/>
        </w:rPr>
        <w:t>广东钧信建设管理有限公司中山分公司</w:t>
      </w:r>
    </w:p>
    <w:p>
      <w:pPr>
        <w:spacing w:line="460" w:lineRule="exact"/>
        <w:ind w:firstLine="420" w:firstLineChars="200"/>
        <w:rPr>
          <w:rFonts w:hint="eastAsia" w:ascii="宋体" w:hAnsi="宋体" w:cs="宋体"/>
          <w:szCs w:val="21"/>
        </w:rPr>
      </w:pPr>
      <w:r>
        <w:rPr>
          <w:rFonts w:hint="eastAsia" w:ascii="宋体" w:hAnsi="宋体" w:cs="宋体"/>
          <w:szCs w:val="21"/>
        </w:rPr>
        <w:t>如果我方在贵单位组织的</w:t>
      </w:r>
      <w:r>
        <w:rPr>
          <w:rFonts w:hint="eastAsia" w:ascii="宋体" w:hAnsi="宋体" w:cs="宋体"/>
          <w:szCs w:val="21"/>
          <w:lang w:eastAsia="zh-CN"/>
        </w:rPr>
        <w:t>中山市坦洲镇污水处理有限公司消毒剂采购项目</w:t>
      </w:r>
      <w:r>
        <w:rPr>
          <w:rFonts w:hint="eastAsia" w:ascii="宋体" w:hAnsi="宋体" w:cs="宋体"/>
          <w:szCs w:val="21"/>
        </w:rPr>
        <w:t>（项目编号：</w:t>
      </w:r>
      <w:r>
        <w:rPr>
          <w:rFonts w:hint="eastAsia" w:ascii="宋体" w:hAnsi="宋体" w:cs="宋体"/>
          <w:szCs w:val="21"/>
          <w:lang w:eastAsia="zh-CN"/>
        </w:rPr>
        <w:t>GDJX202004GK103</w:t>
      </w:r>
      <w:r>
        <w:rPr>
          <w:rFonts w:hint="eastAsia" w:ascii="宋体" w:hAnsi="宋体" w:cs="宋体"/>
          <w:szCs w:val="21"/>
        </w:rPr>
        <w:t>）活动中中标，我方保证在收到《中标通知书》后，</w:t>
      </w:r>
      <w:r>
        <w:rPr>
          <w:rFonts w:hint="eastAsia" w:ascii="宋体" w:hAnsi="宋体" w:cs="宋体"/>
          <w:szCs w:val="21"/>
          <w:highlight w:val="none"/>
          <w:u w:val="none"/>
        </w:rPr>
        <w:t>按照招标文件的有关规定</w:t>
      </w:r>
      <w:r>
        <w:rPr>
          <w:rFonts w:hint="eastAsia" w:ascii="宋体" w:hAnsi="宋体" w:cs="宋体"/>
          <w:szCs w:val="21"/>
          <w:highlight w:val="none"/>
          <w:u w:val="none"/>
          <w:lang w:eastAsia="zh-CN"/>
        </w:rPr>
        <w:t>，以转帐或经贵</w:t>
      </w:r>
      <w:r>
        <w:rPr>
          <w:rFonts w:hint="eastAsia" w:ascii="宋体" w:hAnsi="宋体" w:cs="宋体"/>
          <w:szCs w:val="21"/>
          <w:highlight w:val="none"/>
          <w:u w:val="none"/>
          <w:lang w:val="en-US" w:eastAsia="zh-CN"/>
        </w:rPr>
        <w:t>公司认可的一种方式，</w:t>
      </w:r>
      <w:r>
        <w:rPr>
          <w:rFonts w:hint="eastAsia" w:ascii="宋体" w:hAnsi="宋体" w:cs="宋体"/>
          <w:szCs w:val="21"/>
          <w:highlight w:val="none"/>
          <w:u w:val="none"/>
        </w:rPr>
        <w:t>向贵</w:t>
      </w:r>
      <w:r>
        <w:rPr>
          <w:rFonts w:hint="eastAsia" w:ascii="宋体" w:hAnsi="宋体" w:cs="宋体"/>
          <w:szCs w:val="21"/>
          <w:highlight w:val="none"/>
          <w:u w:val="none"/>
          <w:lang w:eastAsia="zh-CN"/>
        </w:rPr>
        <w:t>公司即</w:t>
      </w:r>
      <w:r>
        <w:rPr>
          <w:rFonts w:hint="eastAsia" w:ascii="宋体" w:hAnsi="宋体" w:cs="宋体"/>
          <w:b/>
          <w:highlight w:val="none"/>
          <w:u w:val="none"/>
          <w:lang w:eastAsia="zh-CN"/>
        </w:rPr>
        <w:t>广东钧信建设管理有限公司中山分公司</w:t>
      </w:r>
      <w:r>
        <w:rPr>
          <w:rFonts w:hint="eastAsia" w:ascii="宋体" w:hAnsi="宋体" w:cs="宋体"/>
          <w:szCs w:val="21"/>
          <w:highlight w:val="none"/>
          <w:u w:val="none"/>
        </w:rPr>
        <w:t>交纳中标服务费。</w:t>
      </w:r>
    </w:p>
    <w:p>
      <w:pPr>
        <w:spacing w:line="480" w:lineRule="auto"/>
        <w:ind w:firstLine="420" w:firstLineChars="200"/>
        <w:rPr>
          <w:rFonts w:hint="eastAsia" w:ascii="宋体" w:hAnsi="宋体" w:cs="宋体"/>
          <w:szCs w:val="21"/>
        </w:rPr>
      </w:pPr>
    </w:p>
    <w:p>
      <w:pPr>
        <w:spacing w:line="480" w:lineRule="auto"/>
        <w:ind w:firstLine="539"/>
        <w:rPr>
          <w:rFonts w:hint="eastAsia" w:ascii="宋体" w:hAnsi="宋体" w:cs="宋体"/>
          <w:szCs w:val="21"/>
        </w:rPr>
      </w:pPr>
      <w:r>
        <w:rPr>
          <w:rFonts w:hint="eastAsia" w:ascii="宋体" w:hAnsi="宋体" w:cs="宋体"/>
          <w:szCs w:val="21"/>
        </w:rPr>
        <w:t>我方如违反上款承诺，自愿接受贵单位按上述承诺金额的200％在我方提交的投标保证金及买方根据中标合同约定支付给我方的合同款中扣付。</w:t>
      </w:r>
    </w:p>
    <w:p>
      <w:pPr>
        <w:spacing w:line="480" w:lineRule="auto"/>
        <w:ind w:firstLine="540"/>
        <w:rPr>
          <w:rFonts w:hint="eastAsia" w:ascii="宋体" w:hAnsi="宋体" w:cs="宋体"/>
          <w:szCs w:val="21"/>
        </w:rPr>
      </w:pPr>
      <w:r>
        <w:rPr>
          <w:rFonts w:hint="eastAsia" w:ascii="宋体" w:hAnsi="宋体" w:cs="宋体"/>
          <w:szCs w:val="21"/>
        </w:rPr>
        <w:t>特此承诺！</w:t>
      </w:r>
    </w:p>
    <w:p>
      <w:pPr>
        <w:spacing w:line="480" w:lineRule="auto"/>
        <w:ind w:firstLine="540"/>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投标人名称（加盖公章）；</w:t>
      </w:r>
    </w:p>
    <w:p>
      <w:pPr>
        <w:spacing w:line="480" w:lineRule="auto"/>
        <w:ind w:left="1438" w:leftChars="685"/>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bookmarkStart w:id="96" w:name="_Toc421004207"/>
      <w:bookmarkStart w:id="97" w:name="_Toc420684773"/>
      <w:bookmarkStart w:id="98" w:name="_Toc421205770"/>
      <w:r>
        <w:rPr>
          <w:rFonts w:hint="eastAsia" w:ascii="宋体" w:hAnsi="宋体" w:cs="宋体"/>
          <w:szCs w:val="21"/>
        </w:rPr>
        <w:t>法定代表人或授权委托人（签名或盖章）：</w:t>
      </w:r>
      <w:bookmarkEnd w:id="96"/>
      <w:bookmarkEnd w:id="97"/>
      <w:bookmarkEnd w:id="98"/>
    </w:p>
    <w:p>
      <w:pPr>
        <w:spacing w:line="480" w:lineRule="auto"/>
        <w:ind w:left="1438" w:leftChars="685" w:firstLine="2730" w:firstLineChars="1300"/>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电    话：</w:t>
      </w:r>
    </w:p>
    <w:p>
      <w:pPr>
        <w:spacing w:line="480" w:lineRule="auto"/>
        <w:ind w:left="1438" w:leftChars="685"/>
        <w:rPr>
          <w:rFonts w:hint="eastAsia" w:ascii="宋体" w:hAnsi="宋体" w:cs="宋体"/>
          <w:szCs w:val="21"/>
        </w:rPr>
      </w:pPr>
    </w:p>
    <w:p>
      <w:pPr>
        <w:spacing w:line="480" w:lineRule="auto"/>
        <w:ind w:left="1438" w:leftChars="685" w:firstLine="2730" w:firstLineChars="1300"/>
        <w:rPr>
          <w:rFonts w:hint="eastAsia" w:ascii="宋体" w:hAnsi="宋体" w:cs="宋体"/>
          <w:szCs w:val="21"/>
        </w:rPr>
      </w:pPr>
      <w:r>
        <w:rPr>
          <w:rFonts w:hint="eastAsia" w:ascii="宋体" w:hAnsi="宋体" w:cs="宋体"/>
          <w:szCs w:val="21"/>
        </w:rPr>
        <w:t>传    真：</w:t>
      </w:r>
    </w:p>
    <w:p>
      <w:pPr>
        <w:pStyle w:val="23"/>
        <w:spacing w:line="480" w:lineRule="auto"/>
        <w:ind w:firstLine="4200" w:firstLineChars="2000"/>
        <w:rPr>
          <w:rFonts w:hint="eastAsia" w:hAnsi="宋体" w:cs="宋体"/>
        </w:rPr>
      </w:pPr>
    </w:p>
    <w:p>
      <w:pPr>
        <w:pStyle w:val="23"/>
        <w:spacing w:line="480" w:lineRule="auto"/>
        <w:ind w:firstLine="4200" w:firstLineChars="2000"/>
        <w:rPr>
          <w:rFonts w:hint="eastAsia" w:hAnsi="宋体" w:cs="宋体"/>
        </w:rPr>
      </w:pPr>
      <w:r>
        <w:rPr>
          <w:rFonts w:hint="eastAsia" w:hAnsi="宋体" w:cs="宋体"/>
        </w:rPr>
        <w:t>承诺日期：            年    月    日</w:t>
      </w:r>
    </w:p>
    <w:p>
      <w:pPr>
        <w:pStyle w:val="23"/>
        <w:spacing w:line="480" w:lineRule="auto"/>
        <w:ind w:firstLine="4200" w:firstLineChars="2000"/>
        <w:rPr>
          <w:rFonts w:hint="eastAsia" w:hAnsi="宋体" w:cs="宋体"/>
        </w:rPr>
      </w:pPr>
    </w:p>
    <w:p>
      <w:pPr>
        <w:pStyle w:val="23"/>
        <w:spacing w:line="480" w:lineRule="auto"/>
        <w:ind w:firstLine="4200" w:firstLineChars="2000"/>
        <w:rPr>
          <w:rFonts w:hint="eastAsia" w:hAnsi="宋体" w:cs="宋体"/>
        </w:rPr>
      </w:pPr>
    </w:p>
    <w:p>
      <w:pPr>
        <w:pStyle w:val="23"/>
        <w:spacing w:line="480" w:lineRule="auto"/>
        <w:ind w:firstLine="4200" w:firstLineChars="2000"/>
        <w:rPr>
          <w:rFonts w:hint="eastAsia" w:hAnsi="宋体" w:cs="宋体"/>
        </w:rPr>
      </w:pPr>
    </w:p>
    <w:p>
      <w:pPr>
        <w:pStyle w:val="23"/>
        <w:spacing w:line="480" w:lineRule="auto"/>
        <w:ind w:firstLine="4200" w:firstLineChars="2000"/>
        <w:rPr>
          <w:rFonts w:hint="eastAsia" w:hAnsi="宋体" w:cs="宋体"/>
        </w:rPr>
      </w:pPr>
    </w:p>
    <w:p>
      <w:pPr>
        <w:pStyle w:val="23"/>
        <w:spacing w:line="480" w:lineRule="auto"/>
        <w:ind w:firstLine="4200" w:firstLineChars="2000"/>
        <w:rPr>
          <w:rFonts w:hint="eastAsia" w:hAnsi="宋体" w:cs="宋体"/>
        </w:rPr>
      </w:pPr>
    </w:p>
    <w:p>
      <w:pPr>
        <w:rPr>
          <w:rFonts w:hint="eastAsia" w:ascii="宋体" w:hAnsi="宋体" w:cs="宋体"/>
          <w:sz w:val="28"/>
          <w:szCs w:val="28"/>
        </w:rPr>
      </w:pPr>
      <w:bookmarkStart w:id="99" w:name="_Toc421205771"/>
      <w:bookmarkStart w:id="100" w:name="_Toc421004208"/>
      <w:bookmarkStart w:id="101" w:name="_Toc420684774"/>
    </w:p>
    <w:p>
      <w:pPr>
        <w:rPr>
          <w:rFonts w:hint="eastAsia" w:ascii="宋体" w:hAnsi="宋体" w:cs="宋体"/>
          <w:sz w:val="28"/>
          <w:szCs w:val="28"/>
        </w:rPr>
      </w:pPr>
      <w:r>
        <w:rPr>
          <w:rFonts w:hint="eastAsia" w:ascii="宋体" w:hAnsi="宋体" w:cs="宋体"/>
          <w:sz w:val="28"/>
          <w:szCs w:val="28"/>
        </w:rPr>
        <w:t>表5-1</w:t>
      </w:r>
      <w:bookmarkEnd w:id="99"/>
      <w:bookmarkEnd w:id="100"/>
      <w:bookmarkEnd w:id="101"/>
      <w:r>
        <w:rPr>
          <w:rFonts w:hint="eastAsia" w:ascii="宋体" w:hAnsi="宋体" w:cs="宋体"/>
          <w:sz w:val="28"/>
          <w:szCs w:val="28"/>
          <w:lang w:val="en-US" w:eastAsia="zh-CN"/>
        </w:rPr>
        <w:t>2</w:t>
      </w:r>
      <w:r>
        <w:rPr>
          <w:rFonts w:hint="eastAsia" w:ascii="宋体" w:hAnsi="宋体" w:cs="宋体"/>
          <w:sz w:val="28"/>
          <w:szCs w:val="28"/>
        </w:rPr>
        <w:t xml:space="preserve">  投标保证金汇款凭证复印件</w:t>
      </w:r>
    </w:p>
    <w:p>
      <w:pPr>
        <w:rPr>
          <w:rFonts w:hint="eastAsia" w:ascii="宋体" w:hAnsi="宋体" w:cs="宋体"/>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p>
      <w:pPr>
        <w:rPr>
          <w:rFonts w:hint="eastAsia" w:ascii="宋体" w:hAnsi="宋体" w:cs="宋体"/>
        </w:rPr>
      </w:pPr>
      <w:r>
        <w:rPr>
          <w:rFonts w:hint="eastAsia" w:ascii="宋体" w:hAnsi="宋体" w:cs="宋体"/>
        </w:rPr>
        <w:pict>
          <v:rect id="Rectangle 4" o:spid="_x0000_s1031" o:spt="1" style="position:absolute;left:0pt;margin-left:15.75pt;margin-top:9.85pt;height:181.6pt;width:405pt;z-index:-251655168;mso-width-relative:page;mso-height-relative:page;" fillcolor="#FFFFFF" filled="t" stroked="t" coordsize="21600,21600">
            <v:path/>
            <v:fill on="t" focussize="0,0"/>
            <v:stroke/>
            <v:imagedata o:title=""/>
            <o:lock v:ext="edit" grouping="f" rotation="f" text="f" aspectratio="f"/>
          </v:rect>
        </w:pic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28"/>
          <w:szCs w:val="28"/>
        </w:rPr>
      </w:pPr>
      <w:r>
        <w:rPr>
          <w:rFonts w:hint="eastAsia" w:ascii="宋体" w:hAnsi="宋体" w:cs="宋体"/>
          <w:sz w:val="28"/>
          <w:szCs w:val="28"/>
        </w:rPr>
        <w:t>粘贴投标保证金汇款凭证复印件</w:t>
      </w:r>
    </w:p>
    <w:p>
      <w:pPr>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3465" w:firstLineChars="1650"/>
        <w:rPr>
          <w:rFonts w:hint="eastAsia" w:ascii="宋体" w:hAnsi="宋体" w:cs="宋体"/>
        </w:rPr>
      </w:pPr>
    </w:p>
    <w:p>
      <w:pPr>
        <w:spacing w:line="360" w:lineRule="auto"/>
        <w:ind w:firstLine="4319" w:firstLineChars="2057"/>
        <w:rPr>
          <w:rFonts w:hint="eastAsia" w:ascii="宋体" w:hAnsi="宋体" w:cs="宋体"/>
          <w:szCs w:val="21"/>
        </w:rPr>
      </w:pPr>
    </w:p>
    <w:p>
      <w:pPr>
        <w:spacing w:line="360" w:lineRule="auto"/>
        <w:ind w:firstLine="4319" w:firstLineChars="2057"/>
        <w:rPr>
          <w:rFonts w:hint="eastAsia" w:ascii="宋体" w:hAnsi="宋体" w:cs="宋体"/>
          <w:szCs w:val="21"/>
        </w:rPr>
      </w:pPr>
    </w:p>
    <w:p>
      <w:pPr>
        <w:spacing w:line="360" w:lineRule="auto"/>
        <w:ind w:firstLine="4319" w:firstLineChars="2057"/>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jc w:val="center"/>
        <w:rPr>
          <w:rFonts w:hint="eastAsia" w:ascii="宋体" w:hAnsi="宋体" w:cs="宋体"/>
          <w:b/>
          <w:bCs/>
          <w:sz w:val="30"/>
        </w:rPr>
      </w:pPr>
    </w:p>
    <w:p>
      <w:pPr>
        <w:pStyle w:val="2"/>
        <w:rPr>
          <w:rFonts w:hint="eastAsia" w:ascii="宋体" w:hAnsi="宋体" w:cs="宋体"/>
          <w:b/>
          <w:bCs/>
          <w:sz w:val="30"/>
        </w:rPr>
      </w:pPr>
    </w:p>
    <w:p>
      <w:pPr>
        <w:rPr>
          <w:rFonts w:hint="eastAsia" w:ascii="宋体" w:hAnsi="宋体" w:cs="宋体"/>
          <w:b/>
          <w:bCs/>
          <w:sz w:val="30"/>
        </w:rPr>
      </w:pPr>
    </w:p>
    <w:p>
      <w:pPr>
        <w:pStyle w:val="2"/>
        <w:rPr>
          <w:rFonts w:hint="eastAsia" w:ascii="宋体" w:hAnsi="宋体" w:cs="宋体"/>
          <w:b/>
          <w:bCs/>
          <w:sz w:val="30"/>
        </w:rPr>
      </w:pPr>
    </w:p>
    <w:p>
      <w:pPr>
        <w:rPr>
          <w:rFonts w:hint="eastAsia"/>
        </w:rPr>
      </w:pPr>
    </w:p>
    <w:p>
      <w:pPr>
        <w:jc w:val="center"/>
        <w:rPr>
          <w:rFonts w:hint="eastAsia" w:ascii="宋体" w:hAnsi="宋体" w:cs="宋体"/>
          <w:b/>
          <w:bCs/>
          <w:sz w:val="30"/>
        </w:rPr>
      </w:pPr>
    </w:p>
    <w:p>
      <w:pPr>
        <w:jc w:val="center"/>
        <w:rPr>
          <w:rFonts w:hint="eastAsia" w:ascii="宋体" w:hAnsi="宋体" w:cs="宋体"/>
          <w:b/>
          <w:bCs/>
          <w:sz w:val="30"/>
        </w:rPr>
      </w:pPr>
    </w:p>
    <w:p>
      <w:pPr>
        <w:jc w:val="center"/>
        <w:rPr>
          <w:rFonts w:hint="eastAsia" w:ascii="宋体" w:hAnsi="宋体" w:cs="宋体"/>
          <w:b/>
          <w:bCs/>
          <w:sz w:val="30"/>
        </w:rPr>
      </w:pPr>
    </w:p>
    <w:p>
      <w:pPr>
        <w:rPr>
          <w:rFonts w:hint="eastAsia" w:ascii="宋体" w:hAnsi="宋体" w:cs="宋体"/>
          <w:sz w:val="28"/>
          <w:szCs w:val="28"/>
        </w:rPr>
      </w:pPr>
      <w:r>
        <w:rPr>
          <w:rFonts w:hint="eastAsia" w:ascii="宋体" w:hAnsi="宋体" w:cs="宋体"/>
          <w:sz w:val="28"/>
          <w:szCs w:val="28"/>
        </w:rPr>
        <w:t>表5-1</w:t>
      </w:r>
      <w:r>
        <w:rPr>
          <w:rFonts w:hint="eastAsia" w:ascii="宋体" w:hAnsi="宋体" w:cs="宋体"/>
          <w:sz w:val="28"/>
          <w:szCs w:val="28"/>
          <w:lang w:val="en-US" w:eastAsia="zh-CN"/>
        </w:rPr>
        <w:t>3</w:t>
      </w:r>
      <w:r>
        <w:rPr>
          <w:rFonts w:hint="eastAsia" w:ascii="宋体" w:hAnsi="宋体" w:cs="宋体"/>
          <w:sz w:val="28"/>
          <w:szCs w:val="28"/>
        </w:rPr>
        <w:t xml:space="preserve">  资格声明函</w:t>
      </w:r>
    </w:p>
    <w:p>
      <w:pPr>
        <w:pStyle w:val="7"/>
        <w:spacing w:line="360" w:lineRule="auto"/>
        <w:rPr>
          <w:rFonts w:hint="eastAsia" w:ascii="宋体" w:hAnsi="宋体" w:cs="宋体"/>
          <w:szCs w:val="21"/>
        </w:rPr>
      </w:pPr>
    </w:p>
    <w:p>
      <w:pPr>
        <w:pStyle w:val="7"/>
        <w:spacing w:line="360" w:lineRule="auto"/>
        <w:rPr>
          <w:rFonts w:hint="eastAsia" w:ascii="宋体" w:hAnsi="宋体" w:cs="宋体"/>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p>
      <w:pPr>
        <w:spacing w:before="120" w:beforeLines="50" w:after="120" w:afterLines="50" w:line="360" w:lineRule="auto"/>
        <w:rPr>
          <w:rFonts w:hint="eastAsia" w:ascii="宋体" w:hAnsi="宋体" w:cs="宋体"/>
        </w:rPr>
      </w:pPr>
    </w:p>
    <w:p>
      <w:pPr>
        <w:spacing w:line="360" w:lineRule="auto"/>
        <w:ind w:left="2"/>
        <w:rPr>
          <w:rFonts w:hint="eastAsia" w:ascii="宋体" w:hAnsi="宋体" w:cs="宋体"/>
        </w:rPr>
      </w:pPr>
      <w:r>
        <w:rPr>
          <w:rFonts w:hint="eastAsia" w:ascii="宋体" w:hAnsi="宋体" w:cs="宋体"/>
        </w:rPr>
        <w:t>致：</w:t>
      </w:r>
      <w:r>
        <w:rPr>
          <w:rFonts w:hint="eastAsia" w:ascii="宋体" w:hAnsi="宋体" w:cs="宋体"/>
          <w:lang w:eastAsia="zh-CN"/>
        </w:rPr>
        <w:t>广东钧信建设管理有限公司中山分公司</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本公司郑重承诺：</w:t>
      </w:r>
    </w:p>
    <w:p>
      <w:pPr>
        <w:spacing w:line="360" w:lineRule="auto"/>
        <w:ind w:firstLine="420" w:firstLineChars="200"/>
        <w:rPr>
          <w:rFonts w:hint="eastAsia" w:ascii="宋体" w:hAnsi="宋体" w:cs="宋体"/>
          <w:szCs w:val="21"/>
        </w:rPr>
      </w:pPr>
      <w:r>
        <w:rPr>
          <w:rFonts w:hint="eastAsia" w:ascii="宋体" w:hAnsi="宋体" w:cs="宋体"/>
        </w:rPr>
        <w:t>我司参与</w:t>
      </w:r>
      <w:r>
        <w:rPr>
          <w:rFonts w:hint="eastAsia" w:ascii="宋体" w:hAnsi="宋体" w:cs="宋体"/>
          <w:szCs w:val="21"/>
          <w:lang w:eastAsia="zh-CN"/>
        </w:rPr>
        <w:t>中山市坦洲镇污水处理有限公司消毒剂采购项目</w:t>
      </w:r>
      <w:r>
        <w:rPr>
          <w:rFonts w:hint="eastAsia" w:ascii="宋体" w:hAnsi="宋体" w:cs="宋体"/>
        </w:rPr>
        <w:t xml:space="preserve"> (项目编号：</w:t>
      </w:r>
      <w:r>
        <w:rPr>
          <w:rFonts w:hint="eastAsia" w:ascii="宋体" w:hAnsi="宋体" w:cs="宋体"/>
          <w:kern w:val="28"/>
          <w:lang w:eastAsia="zh-CN"/>
        </w:rPr>
        <w:t>GDJX202004GK103</w:t>
      </w:r>
      <w:r>
        <w:rPr>
          <w:rFonts w:hint="eastAsia" w:ascii="宋体" w:hAnsi="宋体" w:cs="宋体"/>
        </w:rPr>
        <w:t>)的采购活动，我司符合以下条件：</w:t>
      </w:r>
      <w:r>
        <w:rPr>
          <w:rFonts w:hint="eastAsia" w:ascii="宋体" w:hAnsi="宋体" w:cs="宋体"/>
          <w:szCs w:val="21"/>
        </w:rPr>
        <w:t>具有独立承担民事责任的能力，</w:t>
      </w:r>
      <w:r>
        <w:rPr>
          <w:rFonts w:hint="eastAsia" w:ascii="宋体" w:hAnsi="宋体" w:cs="宋体"/>
        </w:rPr>
        <w:t>具有良好的商业信誉和健全的财务会计制度，具有履行合同所必需的设备和专业技术能力，具有依法缴纳税收和社会保障资金的良好记录，</w:t>
      </w:r>
      <w:r>
        <w:rPr>
          <w:rFonts w:hint="eastAsia" w:ascii="宋体" w:hAnsi="宋体" w:cs="宋体"/>
          <w:szCs w:val="21"/>
        </w:rPr>
        <w:t>参加招投标活动前三年内，在经营活动中没有重大违法记录。</w:t>
      </w:r>
    </w:p>
    <w:p>
      <w:pPr>
        <w:spacing w:line="360" w:lineRule="auto"/>
        <w:ind w:firstLine="420" w:firstLineChars="200"/>
        <w:rPr>
          <w:rFonts w:hint="eastAsia" w:ascii="宋体" w:hAnsi="宋体" w:cs="宋体"/>
          <w:szCs w:val="21"/>
        </w:rPr>
      </w:pPr>
      <w:r>
        <w:rPr>
          <w:rFonts w:hint="eastAsia" w:ascii="宋体" w:hAnsi="宋体" w:cs="宋体"/>
          <w:szCs w:val="21"/>
        </w:rPr>
        <w:t>我司承诺不是为招标项目提供整体设计、规范编制或者项目管理、监理、检测等服务的投标人及其附属机构。</w:t>
      </w:r>
    </w:p>
    <w:p>
      <w:pPr>
        <w:spacing w:line="360" w:lineRule="auto"/>
        <w:ind w:firstLine="420" w:firstLineChars="200"/>
        <w:rPr>
          <w:rFonts w:hint="eastAsia" w:ascii="宋体" w:hAnsi="宋体" w:cs="宋体"/>
        </w:rPr>
      </w:pPr>
      <w:r>
        <w:rPr>
          <w:rFonts w:hint="eastAsia" w:ascii="宋体" w:hAnsi="宋体" w:cs="宋体"/>
        </w:rPr>
        <w:t>我司承诺参与招标活动中所提供的资料文件真实有效，正确无误。</w:t>
      </w:r>
    </w:p>
    <w:p>
      <w:pPr>
        <w:widowControl/>
        <w:tabs>
          <w:tab w:val="left" w:pos="926"/>
        </w:tabs>
        <w:snapToGrid w:val="0"/>
        <w:spacing w:line="460" w:lineRule="exact"/>
        <w:ind w:firstLine="420" w:firstLineChars="200"/>
        <w:rPr>
          <w:rFonts w:hint="eastAsia" w:ascii="宋体" w:hAnsi="宋体" w:cs="宋体"/>
          <w:b/>
          <w:sz w:val="44"/>
          <w:szCs w:val="44"/>
        </w:rPr>
      </w:pPr>
      <w:r>
        <w:rPr>
          <w:rFonts w:hint="eastAsia" w:ascii="宋体" w:hAnsi="宋体" w:cs="宋体"/>
          <w:szCs w:val="21"/>
        </w:rPr>
        <w:t>本公司对上述承诺的真实性负责。如有虚假，将依法承担相应责任。</w:t>
      </w: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widowControl/>
        <w:tabs>
          <w:tab w:val="left" w:pos="926"/>
        </w:tabs>
        <w:snapToGrid w:val="0"/>
        <w:spacing w:line="460" w:lineRule="exact"/>
        <w:jc w:val="center"/>
        <w:rPr>
          <w:rFonts w:hint="eastAsia" w:ascii="宋体" w:hAnsi="宋体" w:cs="宋体"/>
          <w:b/>
          <w:sz w:val="44"/>
          <w:szCs w:val="44"/>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jc w:val="both"/>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Cs w:val="21"/>
        </w:rPr>
      </w:pPr>
    </w:p>
    <w:p>
      <w:pPr>
        <w:pStyle w:val="99"/>
        <w:rPr>
          <w:rFonts w:hint="eastAsia" w:ascii="宋体" w:hAnsi="宋体" w:eastAsia="宋体" w:cs="宋体"/>
          <w:sz w:val="52"/>
          <w:szCs w:val="52"/>
        </w:rPr>
      </w:pPr>
      <w:bookmarkStart w:id="102" w:name="_Toc420684777"/>
      <w:bookmarkStart w:id="103" w:name="_Toc421004211"/>
      <w:bookmarkStart w:id="104" w:name="_Toc421205774"/>
      <w:r>
        <w:rPr>
          <w:rFonts w:hint="eastAsia" w:ascii="宋体" w:hAnsi="宋体" w:eastAsia="宋体" w:cs="宋体"/>
          <w:sz w:val="36"/>
          <w:szCs w:val="36"/>
        </w:rPr>
        <w:t>第三部分  技术文件格式</w:t>
      </w:r>
      <w:bookmarkEnd w:id="102"/>
      <w:bookmarkEnd w:id="103"/>
      <w:bookmarkEnd w:id="104"/>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spacing w:line="360" w:lineRule="auto"/>
        <w:jc w:val="center"/>
        <w:rPr>
          <w:rFonts w:hint="eastAsia" w:ascii="宋体" w:hAnsi="宋体" w:cs="宋体"/>
          <w:b/>
          <w:sz w:val="30"/>
        </w:rPr>
      </w:pPr>
    </w:p>
    <w:p>
      <w:pPr>
        <w:pStyle w:val="2"/>
        <w:rPr>
          <w:rFonts w:hint="eastAsia" w:ascii="宋体" w:hAnsi="宋体" w:cs="宋体"/>
          <w:b/>
          <w:sz w:val="30"/>
        </w:rPr>
      </w:pPr>
    </w:p>
    <w:p>
      <w:pPr>
        <w:rPr>
          <w:rFonts w:hint="eastAsia"/>
        </w:rPr>
      </w:pPr>
    </w:p>
    <w:p>
      <w:pPr>
        <w:spacing w:line="360" w:lineRule="auto"/>
        <w:rPr>
          <w:rFonts w:hint="eastAsia" w:ascii="宋体" w:hAnsi="宋体" w:cs="宋体"/>
          <w:b/>
          <w:sz w:val="30"/>
        </w:rPr>
      </w:pPr>
    </w:p>
    <w:p>
      <w:pPr>
        <w:rPr>
          <w:rFonts w:hint="eastAsia" w:ascii="宋体" w:hAnsi="宋体" w:cs="宋体"/>
          <w:sz w:val="28"/>
          <w:szCs w:val="28"/>
        </w:rPr>
      </w:pPr>
      <w:r>
        <w:rPr>
          <w:rFonts w:hint="eastAsia" w:ascii="宋体" w:hAnsi="宋体" w:cs="宋体"/>
          <w:sz w:val="28"/>
          <w:szCs w:val="28"/>
        </w:rPr>
        <w:t>表5-1</w:t>
      </w:r>
      <w:r>
        <w:rPr>
          <w:rFonts w:hint="eastAsia" w:ascii="宋体" w:hAnsi="宋体" w:cs="宋体"/>
          <w:sz w:val="28"/>
          <w:szCs w:val="28"/>
          <w:lang w:val="en-US" w:eastAsia="zh-CN"/>
        </w:rPr>
        <w:t>4</w:t>
      </w:r>
      <w:r>
        <w:rPr>
          <w:rFonts w:hint="eastAsia" w:ascii="宋体" w:hAnsi="宋体" w:cs="宋体"/>
          <w:sz w:val="28"/>
          <w:szCs w:val="28"/>
        </w:rPr>
        <w:t xml:space="preserve">  技术规格偏离表</w:t>
      </w:r>
    </w:p>
    <w:p>
      <w:pPr>
        <w:spacing w:line="360" w:lineRule="auto"/>
        <w:jc w:val="left"/>
        <w:rPr>
          <w:rFonts w:hint="eastAsia" w:ascii="宋体" w:hAnsi="宋体" w:cs="宋体"/>
          <w:b/>
          <w:sz w:val="30"/>
          <w:szCs w:val="30"/>
        </w:rPr>
      </w:pPr>
    </w:p>
    <w:p>
      <w:pPr>
        <w:spacing w:line="360" w:lineRule="auto"/>
        <w:ind w:firstLine="210" w:firstLineChars="100"/>
        <w:jc w:val="left"/>
        <w:rPr>
          <w:rFonts w:hint="eastAsia" w:ascii="宋体" w:hAnsi="宋体" w:cs="宋体"/>
          <w:b/>
          <w:sz w:val="30"/>
          <w:szCs w:val="30"/>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p>
    <w:tbl>
      <w:tblPr>
        <w:tblStyle w:val="47"/>
        <w:tblW w:w="967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260"/>
        <w:gridCol w:w="2628"/>
        <w:gridCol w:w="3074"/>
        <w:gridCol w:w="20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5" w:hRule="atLeast"/>
        </w:trPr>
        <w:tc>
          <w:tcPr>
            <w:tcW w:w="672"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szCs w:val="21"/>
              </w:rPr>
            </w:pPr>
            <w:r>
              <w:rPr>
                <w:rFonts w:hint="eastAsia" w:ascii="宋体" w:hAnsi="宋体"/>
                <w:b/>
                <w:szCs w:val="21"/>
              </w:rPr>
              <w:t>序号</w:t>
            </w:r>
          </w:p>
        </w:tc>
        <w:tc>
          <w:tcPr>
            <w:tcW w:w="1260"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szCs w:val="21"/>
              </w:rPr>
            </w:pPr>
            <w:r>
              <w:rPr>
                <w:rFonts w:hint="eastAsia" w:ascii="宋体" w:hAnsi="宋体"/>
                <w:b/>
                <w:szCs w:val="21"/>
              </w:rPr>
              <w:t>货物名称</w:t>
            </w:r>
          </w:p>
        </w:tc>
        <w:tc>
          <w:tcPr>
            <w:tcW w:w="2628"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招标规格</w:t>
            </w:r>
          </w:p>
        </w:tc>
        <w:tc>
          <w:tcPr>
            <w:tcW w:w="3074"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投标规格</w:t>
            </w:r>
          </w:p>
        </w:tc>
        <w:tc>
          <w:tcPr>
            <w:tcW w:w="2037"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rPr>
            </w:pPr>
            <w:r>
              <w:rPr>
                <w:rFonts w:hint="eastAsia" w:ascii="宋体" w:hAnsi="宋体"/>
                <w:b/>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672"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c>
          <w:tcPr>
            <w:tcW w:w="1260" w:type="dxa"/>
            <w:tcBorders>
              <w:top w:val="single" w:color="auto" w:sz="6" w:space="0"/>
            </w:tcBorders>
            <w:vAlign w:val="center"/>
          </w:tcPr>
          <w:p>
            <w:pPr>
              <w:spacing w:before="156" w:after="156" w:line="400" w:lineRule="exact"/>
              <w:rPr>
                <w:rFonts w:ascii="宋体" w:hAnsi="宋体"/>
              </w:rPr>
            </w:pPr>
          </w:p>
        </w:tc>
        <w:tc>
          <w:tcPr>
            <w:tcW w:w="2628"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c>
          <w:tcPr>
            <w:tcW w:w="3074" w:type="dxa"/>
            <w:tcBorders>
              <w:top w:val="single" w:color="auto" w:sz="6" w:space="0"/>
            </w:tcBorders>
            <w:vAlign w:val="top"/>
          </w:tcPr>
          <w:p>
            <w:pPr>
              <w:spacing w:before="156" w:after="156" w:line="400" w:lineRule="exact"/>
              <w:rPr>
                <w:rFonts w:ascii="宋体" w:hAnsi="宋体"/>
              </w:rPr>
            </w:pPr>
            <w:r>
              <w:rPr>
                <w:rFonts w:hint="eastAsia" w:ascii="宋体" w:hAnsi="宋体"/>
              </w:rPr>
              <w:t> </w:t>
            </w:r>
          </w:p>
        </w:tc>
        <w:tc>
          <w:tcPr>
            <w:tcW w:w="2037" w:type="dxa"/>
            <w:tcBorders>
              <w:top w:val="single" w:color="auto" w:sz="6" w:space="0"/>
            </w:tcBorders>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trPr>
        <w:tc>
          <w:tcPr>
            <w:tcW w:w="672" w:type="dxa"/>
            <w:vAlign w:val="center"/>
          </w:tcPr>
          <w:p>
            <w:pPr>
              <w:spacing w:before="156" w:after="156" w:line="400" w:lineRule="exact"/>
              <w:rPr>
                <w:rFonts w:ascii="宋体" w:hAnsi="宋体"/>
              </w:rPr>
            </w:pPr>
            <w:r>
              <w:rPr>
                <w:rFonts w:hint="eastAsia" w:ascii="宋体" w:hAnsi="宋体"/>
              </w:rPr>
              <w:t> </w:t>
            </w:r>
          </w:p>
        </w:tc>
        <w:tc>
          <w:tcPr>
            <w:tcW w:w="1260" w:type="dxa"/>
            <w:vAlign w:val="center"/>
          </w:tcPr>
          <w:p>
            <w:pPr>
              <w:spacing w:before="156" w:after="156" w:line="400" w:lineRule="exact"/>
              <w:rPr>
                <w:rFonts w:ascii="宋体" w:hAnsi="宋体"/>
              </w:rPr>
            </w:pPr>
          </w:p>
        </w:tc>
        <w:tc>
          <w:tcPr>
            <w:tcW w:w="2628" w:type="dxa"/>
            <w:vAlign w:val="center"/>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trPr>
        <w:tc>
          <w:tcPr>
            <w:tcW w:w="672" w:type="dxa"/>
            <w:vAlign w:val="center"/>
          </w:tcPr>
          <w:p>
            <w:pPr>
              <w:spacing w:before="156" w:after="156" w:line="400" w:lineRule="exact"/>
              <w:rPr>
                <w:rFonts w:ascii="宋体" w:hAnsi="宋体"/>
              </w:rPr>
            </w:pPr>
            <w:r>
              <w:rPr>
                <w:rFonts w:hint="eastAsia" w:ascii="宋体" w:hAnsi="宋体"/>
              </w:rPr>
              <w:t> </w:t>
            </w:r>
          </w:p>
        </w:tc>
        <w:tc>
          <w:tcPr>
            <w:tcW w:w="1260" w:type="dxa"/>
            <w:vAlign w:val="center"/>
          </w:tcPr>
          <w:p>
            <w:pPr>
              <w:spacing w:before="156" w:after="156" w:line="400" w:lineRule="exact"/>
              <w:rPr>
                <w:rFonts w:ascii="宋体" w:hAnsi="宋体"/>
              </w:rPr>
            </w:pPr>
          </w:p>
        </w:tc>
        <w:tc>
          <w:tcPr>
            <w:tcW w:w="2628" w:type="dxa"/>
            <w:vAlign w:val="center"/>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672" w:type="dxa"/>
            <w:vAlign w:val="top"/>
          </w:tcPr>
          <w:p>
            <w:pPr>
              <w:spacing w:before="156" w:after="156" w:line="400" w:lineRule="exact"/>
              <w:rPr>
                <w:rFonts w:ascii="宋体" w:hAnsi="宋体"/>
                <w:b/>
              </w:rPr>
            </w:pPr>
            <w:r>
              <w:rPr>
                <w:rFonts w:hint="eastAsia" w:ascii="宋体" w:hAnsi="宋体"/>
                <w:b/>
              </w:rPr>
              <w:t> </w:t>
            </w:r>
          </w:p>
        </w:tc>
        <w:tc>
          <w:tcPr>
            <w:tcW w:w="1260" w:type="dxa"/>
            <w:vAlign w:val="top"/>
          </w:tcPr>
          <w:p>
            <w:pPr>
              <w:spacing w:before="156" w:after="156" w:line="400" w:lineRule="exact"/>
              <w:rPr>
                <w:rFonts w:ascii="宋体" w:hAnsi="宋体"/>
                <w:b/>
              </w:rPr>
            </w:pPr>
          </w:p>
        </w:tc>
        <w:tc>
          <w:tcPr>
            <w:tcW w:w="2628" w:type="dxa"/>
            <w:vAlign w:val="top"/>
          </w:tcPr>
          <w:p>
            <w:pPr>
              <w:spacing w:before="156" w:after="156" w:line="400" w:lineRule="exact"/>
              <w:rPr>
                <w:rFonts w:ascii="宋体" w:hAnsi="宋体"/>
                <w:b/>
              </w:rPr>
            </w:pPr>
            <w:r>
              <w:rPr>
                <w:rFonts w:hint="eastAsia" w:ascii="宋体" w:hAnsi="宋体"/>
                <w:b/>
              </w:rPr>
              <w:t> </w:t>
            </w:r>
          </w:p>
        </w:tc>
        <w:tc>
          <w:tcPr>
            <w:tcW w:w="3074" w:type="dxa"/>
            <w:vAlign w:val="top"/>
          </w:tcPr>
          <w:p>
            <w:pPr>
              <w:spacing w:before="156" w:after="156" w:line="400" w:lineRule="exact"/>
              <w:rPr>
                <w:rFonts w:ascii="宋体" w:hAnsi="宋体"/>
              </w:rPr>
            </w:pPr>
            <w:r>
              <w:rPr>
                <w:rFonts w:hint="eastAsia" w:ascii="宋体" w:hAnsi="宋体"/>
              </w:rPr>
              <w:t> </w:t>
            </w:r>
          </w:p>
        </w:tc>
        <w:tc>
          <w:tcPr>
            <w:tcW w:w="2037" w:type="dxa"/>
            <w:vAlign w:val="center"/>
          </w:tcPr>
          <w:p>
            <w:pPr>
              <w:spacing w:before="156" w:after="156" w:line="400" w:lineRule="exact"/>
              <w:rPr>
                <w:rFonts w:ascii="宋体" w:hAnsi="宋体"/>
              </w:rPr>
            </w:pPr>
            <w:r>
              <w:rPr>
                <w:rFonts w:hint="eastAsia" w:ascii="宋体" w:hAnsi="宋体"/>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672" w:type="dxa"/>
            <w:vAlign w:val="top"/>
          </w:tcPr>
          <w:p>
            <w:pPr>
              <w:spacing w:before="156" w:after="156" w:line="400" w:lineRule="exact"/>
              <w:rPr>
                <w:rFonts w:ascii="宋体" w:hAnsi="宋体"/>
              </w:rPr>
            </w:pPr>
            <w:r>
              <w:rPr>
                <w:rFonts w:hint="eastAsia" w:ascii="宋体" w:hAnsi="宋体"/>
              </w:rPr>
              <w:t> </w:t>
            </w:r>
          </w:p>
        </w:tc>
        <w:tc>
          <w:tcPr>
            <w:tcW w:w="1260" w:type="dxa"/>
            <w:vAlign w:val="top"/>
          </w:tcPr>
          <w:p>
            <w:pPr>
              <w:spacing w:before="156" w:after="156" w:line="400" w:lineRule="exact"/>
              <w:rPr>
                <w:rFonts w:ascii="宋体" w:hAnsi="宋体"/>
              </w:rPr>
            </w:pPr>
          </w:p>
        </w:tc>
        <w:tc>
          <w:tcPr>
            <w:tcW w:w="2628" w:type="dxa"/>
            <w:vAlign w:val="top"/>
          </w:tcPr>
          <w:p>
            <w:pPr>
              <w:spacing w:before="156" w:after="156" w:line="400" w:lineRule="exact"/>
              <w:rPr>
                <w:rFonts w:ascii="宋体" w:hAnsi="宋体"/>
              </w:rPr>
            </w:pPr>
            <w:r>
              <w:rPr>
                <w:rFonts w:hint="eastAsia" w:ascii="宋体" w:hAnsi="宋体"/>
              </w:rPr>
              <w:t> </w:t>
            </w:r>
          </w:p>
        </w:tc>
        <w:tc>
          <w:tcPr>
            <w:tcW w:w="3074" w:type="dxa"/>
            <w:vAlign w:val="top"/>
          </w:tcPr>
          <w:p>
            <w:pPr>
              <w:spacing w:before="156" w:after="156" w:line="400" w:lineRule="exact"/>
              <w:rPr>
                <w:rFonts w:ascii="宋体" w:hAnsi="宋体"/>
              </w:rPr>
            </w:pPr>
            <w:r>
              <w:rPr>
                <w:rFonts w:hint="eastAsia" w:ascii="宋体" w:hAnsi="宋体"/>
              </w:rPr>
              <w:t> </w:t>
            </w:r>
            <w:r>
              <w:rPr>
                <w:rFonts w:hint="eastAsia"/>
              </w:rPr>
              <w:t>（此表可延长）</w:t>
            </w:r>
          </w:p>
        </w:tc>
        <w:tc>
          <w:tcPr>
            <w:tcW w:w="2037" w:type="dxa"/>
            <w:vAlign w:val="center"/>
          </w:tcPr>
          <w:p>
            <w:pPr>
              <w:spacing w:before="156" w:after="156" w:line="400" w:lineRule="exact"/>
              <w:rPr>
                <w:rFonts w:ascii="宋体" w:hAnsi="宋体"/>
              </w:rPr>
            </w:pPr>
            <w:r>
              <w:rPr>
                <w:rFonts w:hint="eastAsia" w:ascii="宋体" w:hAnsi="宋体"/>
              </w:rPr>
              <w:t> </w:t>
            </w:r>
          </w:p>
        </w:tc>
      </w:tr>
    </w:tbl>
    <w:p>
      <w:pPr>
        <w:spacing w:line="360" w:lineRule="auto"/>
        <w:ind w:firstLine="210" w:firstLineChars="100"/>
        <w:rPr>
          <w:rFonts w:hint="eastAsia" w:ascii="宋体" w:hAnsi="宋体" w:cs="宋体"/>
          <w:szCs w:val="21"/>
        </w:rPr>
      </w:pPr>
      <w:r>
        <w:rPr>
          <w:rFonts w:hint="eastAsia" w:ascii="宋体" w:hAnsi="宋体" w:cs="宋体"/>
          <w:szCs w:val="21"/>
        </w:rPr>
        <w:pict>
          <v:shape id="Text Box 6" o:spid="_x0000_s1032" o:spt="202" type="#_x0000_t202" style="position:absolute;left:0pt;margin-left:-20.95pt;margin-top:18.05pt;height:21.45pt;width:20.95pt;z-index:251662336;mso-width-relative:page;mso-height-relative:page;" filled="f" stroked="f" coordsize="21600,21600" o:allowoverlap="f">
            <v:path/>
            <v:fill on="f" focussize="0,0"/>
            <v:stroke on="f"/>
            <v:imagedata o:title=""/>
            <o:lock v:ext="edit" grouping="f" rotation="f" text="f" aspectratio="f"/>
            <v:textbox>
              <w:txbxContent>
                <w:p>
                  <w:pPr>
                    <w:rPr>
                      <w:rFonts w:hint="eastAsia"/>
                    </w:rPr>
                  </w:pPr>
                </w:p>
              </w:txbxContent>
            </v:textbox>
          </v:shape>
        </w:pict>
      </w:r>
    </w:p>
    <w:p>
      <w:pPr>
        <w:spacing w:line="360" w:lineRule="auto"/>
        <w:rPr>
          <w:rFonts w:hint="eastAsia" w:ascii="宋体" w:hAnsi="宋体" w:cs="宋体"/>
          <w:szCs w:val="21"/>
        </w:rPr>
      </w:pPr>
      <w:r>
        <w:rPr>
          <w:rFonts w:hint="eastAsia" w:ascii="宋体" w:hAnsi="宋体" w:cs="宋体"/>
          <w:szCs w:val="21"/>
        </w:rPr>
        <w:t>注：</w:t>
      </w:r>
    </w:p>
    <w:p>
      <w:pPr>
        <w:numPr>
          <w:ilvl w:val="0"/>
          <w:numId w:val="40"/>
        </w:numPr>
        <w:spacing w:line="360" w:lineRule="auto"/>
        <w:rPr>
          <w:rFonts w:hint="eastAsia" w:ascii="宋体" w:hAnsi="宋体"/>
          <w:szCs w:val="21"/>
        </w:rPr>
      </w:pPr>
      <w:r>
        <w:rPr>
          <w:rFonts w:hint="eastAsia" w:ascii="宋体" w:hAnsi="宋体"/>
          <w:szCs w:val="21"/>
        </w:rPr>
        <w:t>投标人务必按照采购清单（或招标文件上对所采购货物技术要求）和投标产品的技术参数响应逐一填写此表内容。包括正偏离/负偏离招标文件的要求；</w:t>
      </w:r>
    </w:p>
    <w:p>
      <w:pPr>
        <w:numPr>
          <w:ilvl w:val="0"/>
          <w:numId w:val="40"/>
        </w:numPr>
        <w:spacing w:line="360" w:lineRule="auto"/>
        <w:rPr>
          <w:rFonts w:hint="eastAsia" w:ascii="宋体" w:hAnsi="宋体"/>
          <w:szCs w:val="21"/>
        </w:rPr>
      </w:pPr>
      <w:r>
        <w:rPr>
          <w:rFonts w:hint="eastAsia" w:ascii="宋体" w:hAnsi="宋体"/>
          <w:szCs w:val="21"/>
        </w:rPr>
        <w:t>如投标人不填写或填写不完全，或所投产品与招标文件要求存在差异而没有在上表列明的，评标委员会有权认定该投标为无效投标。</w:t>
      </w:r>
    </w:p>
    <w:p>
      <w:pPr>
        <w:numPr>
          <w:ilvl w:val="0"/>
          <w:numId w:val="40"/>
        </w:numPr>
        <w:spacing w:line="360" w:lineRule="auto"/>
        <w:rPr>
          <w:rFonts w:hint="eastAsia" w:ascii="宋体" w:hAnsi="宋体"/>
          <w:szCs w:val="21"/>
        </w:rPr>
      </w:pPr>
      <w:r>
        <w:rPr>
          <w:rFonts w:hint="eastAsia" w:ascii="宋体" w:hAnsi="宋体"/>
          <w:szCs w:val="21"/>
        </w:rPr>
        <w:t>投标人报价的内容与招标文件的技术有差异时，无论这种差异是否有利于采购人，投标人都应按上述格式如实详细填写。</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spacing w:line="360" w:lineRule="auto"/>
        <w:jc w:val="left"/>
        <w:rPr>
          <w:rFonts w:hint="eastAsia" w:ascii="宋体" w:hAnsi="宋体" w:cs="宋体"/>
          <w:b/>
          <w:sz w:val="30"/>
          <w:szCs w:val="30"/>
        </w:rPr>
      </w:pPr>
    </w:p>
    <w:p>
      <w:pPr>
        <w:pStyle w:val="2"/>
        <w:rPr>
          <w:rFonts w:hint="eastAsia"/>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表5-</w:t>
      </w:r>
      <w:r>
        <w:rPr>
          <w:rFonts w:hint="eastAsia" w:ascii="宋体" w:hAnsi="宋体" w:cs="宋体"/>
          <w:sz w:val="28"/>
          <w:szCs w:val="28"/>
          <w:lang w:val="en-US" w:eastAsia="zh-CN"/>
        </w:rPr>
        <w:t xml:space="preserve">15 </w:t>
      </w:r>
      <w:r>
        <w:rPr>
          <w:rFonts w:hint="eastAsia" w:ascii="宋体" w:hAnsi="宋体" w:cs="宋体"/>
          <w:sz w:val="28"/>
          <w:szCs w:val="28"/>
        </w:rPr>
        <w:t xml:space="preserve"> </w:t>
      </w:r>
      <w:r>
        <w:rPr>
          <w:rFonts w:hint="eastAsia" w:ascii="宋体" w:hAnsi="宋体" w:cs="宋体"/>
          <w:sz w:val="28"/>
          <w:szCs w:val="28"/>
          <w:lang w:eastAsia="zh-CN"/>
        </w:rPr>
        <w:t>技术</w:t>
      </w:r>
      <w:r>
        <w:rPr>
          <w:rFonts w:hint="eastAsia" w:ascii="宋体" w:hAnsi="宋体" w:cs="宋体"/>
          <w:sz w:val="28"/>
          <w:szCs w:val="28"/>
        </w:rPr>
        <w:t>方案</w:t>
      </w:r>
    </w:p>
    <w:p>
      <w:pPr>
        <w:snapToGrid w:val="0"/>
        <w:spacing w:line="360" w:lineRule="auto"/>
        <w:rPr>
          <w:rFonts w:hint="eastAsia" w:ascii="宋体" w:hAnsi="宋体" w:cs="宋体"/>
        </w:rPr>
      </w:pPr>
    </w:p>
    <w:p>
      <w:pPr>
        <w:pStyle w:val="7"/>
        <w:spacing w:line="360" w:lineRule="auto"/>
        <w:ind w:left="0" w:leftChars="0" w:firstLine="420" w:firstLineChars="200"/>
        <w:rPr>
          <w:rFonts w:hint="eastAsia" w:ascii="宋体" w:hAnsi="宋体" w:eastAsia="宋体" w:cs="Arial"/>
          <w:lang w:val="en-US" w:eastAsia="zh-CN"/>
        </w:rPr>
      </w:pPr>
      <w:r>
        <w:rPr>
          <w:rFonts w:hint="eastAsia" w:ascii="宋体" w:hAnsi="宋体" w:cs="Arial"/>
          <w:lang w:val="en-US" w:eastAsia="zh-CN"/>
        </w:rPr>
        <w:t>技术方案（针对本项目有提供具体可行、详细的服务方案，完全满足项目的要求（设备安装调试、送样试生产、供货等）</w:t>
      </w:r>
    </w:p>
    <w:p>
      <w:pPr>
        <w:pStyle w:val="7"/>
        <w:spacing w:line="360" w:lineRule="auto"/>
        <w:rPr>
          <w:rFonts w:hint="eastAsia" w:ascii="宋体" w:hAnsi="宋体" w:cs="Arial"/>
        </w:rPr>
      </w:pPr>
      <w:r>
        <w:rPr>
          <w:rFonts w:hint="eastAsia" w:ascii="宋体" w:hAnsi="宋体" w:cs="Arial"/>
        </w:rPr>
        <w:t>主要内容应包括但不限于：</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产品配套设备；</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产品可靠性；</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药剂消耗量；</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使用成本；</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活性氧含量；</w:t>
      </w:r>
    </w:p>
    <w:p>
      <w:pPr>
        <w:pStyle w:val="7"/>
        <w:numPr>
          <w:ilvl w:val="0"/>
          <w:numId w:val="41"/>
        </w:numPr>
        <w:spacing w:line="360" w:lineRule="auto"/>
        <w:rPr>
          <w:rFonts w:hint="eastAsia" w:ascii="宋体" w:hAnsi="宋体" w:cs="Arial"/>
          <w:lang w:val="en-US" w:eastAsia="zh-CN"/>
        </w:rPr>
      </w:pPr>
      <w:r>
        <w:rPr>
          <w:rFonts w:hint="eastAsia" w:ascii="宋体" w:hAnsi="宋体" w:cs="Arial"/>
          <w:lang w:val="en-US" w:eastAsia="zh-CN"/>
        </w:rPr>
        <w:t>售后服务便利性及响应及时；</w:t>
      </w:r>
    </w:p>
    <w:p>
      <w:pPr>
        <w:pStyle w:val="7"/>
        <w:spacing w:line="360" w:lineRule="auto"/>
        <w:ind w:left="0" w:leftChars="0" w:firstLine="420" w:firstLineChars="200"/>
        <w:rPr>
          <w:rFonts w:hint="eastAsia" w:ascii="宋体" w:hAnsi="宋体" w:cs="Arial"/>
        </w:rPr>
      </w:pPr>
      <w:r>
        <w:rPr>
          <w:rFonts w:hint="eastAsia" w:ascii="宋体" w:hAnsi="宋体"/>
          <w:bCs/>
        </w:rPr>
        <w:t>计划应明确</w:t>
      </w:r>
      <w:r>
        <w:rPr>
          <w:rFonts w:hint="eastAsia" w:ascii="宋体" w:hAnsi="宋体"/>
          <w:bCs/>
          <w:lang w:eastAsia="zh-CN"/>
        </w:rPr>
        <w:t>生产</w:t>
      </w:r>
      <w:r>
        <w:rPr>
          <w:rFonts w:hint="eastAsia" w:ascii="宋体" w:hAnsi="宋体"/>
          <w:bCs/>
        </w:rPr>
        <w:t>商、投标商的售后服务内容，包括</w:t>
      </w:r>
      <w:r>
        <w:rPr>
          <w:rFonts w:hint="eastAsia" w:ascii="宋体" w:hAnsi="宋体"/>
          <w:bCs/>
          <w:szCs w:val="21"/>
        </w:rPr>
        <w:t>售后服务人员配备、应急维修时间安排、</w:t>
      </w:r>
      <w:r>
        <w:rPr>
          <w:rFonts w:hint="eastAsia" w:ascii="宋体" w:hAnsi="宋体"/>
          <w:bCs/>
          <w:szCs w:val="21"/>
          <w:lang w:eastAsia="zh-CN"/>
        </w:rPr>
        <w:t>涉及有</w:t>
      </w:r>
      <w:r>
        <w:rPr>
          <w:rFonts w:hint="eastAsia" w:ascii="宋体" w:hAnsi="宋体"/>
          <w:bCs/>
          <w:szCs w:val="21"/>
        </w:rPr>
        <w:t>收费</w:t>
      </w:r>
      <w:r>
        <w:rPr>
          <w:rFonts w:hint="eastAsia" w:ascii="宋体" w:hAnsi="宋体"/>
          <w:bCs/>
          <w:szCs w:val="21"/>
          <w:lang w:eastAsia="zh-CN"/>
        </w:rPr>
        <w:t>的</w:t>
      </w:r>
      <w:r>
        <w:rPr>
          <w:rFonts w:hint="eastAsia" w:ascii="宋体" w:hAnsi="宋体"/>
          <w:bCs/>
          <w:szCs w:val="21"/>
        </w:rPr>
        <w:t>标准、其它服务承诺。</w:t>
      </w:r>
      <w:r>
        <w:rPr>
          <w:rFonts w:hint="eastAsia" w:ascii="宋体" w:hAnsi="宋体"/>
          <w:bCs/>
        </w:rPr>
        <w:t>可用附页形式说明。</w:t>
      </w:r>
    </w:p>
    <w:p>
      <w:pPr>
        <w:pStyle w:val="7"/>
        <w:rPr>
          <w:rFonts w:hint="eastAsia" w:ascii="宋体" w:hAnsi="宋体" w:cs="宋体"/>
          <w:szCs w:val="21"/>
          <w:u w:val="single"/>
        </w:rPr>
      </w:pPr>
    </w:p>
    <w:p>
      <w:pPr>
        <w:pStyle w:val="7"/>
        <w:rPr>
          <w:rFonts w:hint="eastAsia" w:ascii="宋体" w:hAnsi="宋体" w:cs="宋体"/>
          <w:szCs w:val="21"/>
          <w:u w:val="single"/>
        </w:rPr>
      </w:pPr>
    </w:p>
    <w:p>
      <w:pPr>
        <w:autoSpaceDE w:val="0"/>
        <w:autoSpaceDN w:val="0"/>
        <w:adjustRightInd w:val="0"/>
        <w:spacing w:line="360" w:lineRule="auto"/>
        <w:ind w:right="216"/>
        <w:rPr>
          <w:rFonts w:hint="eastAsia" w:ascii="宋体" w:hAnsi="宋体" w:cs="宋体"/>
          <w:b/>
        </w:rPr>
      </w:pPr>
    </w:p>
    <w:p>
      <w:pPr>
        <w:autoSpaceDE w:val="0"/>
        <w:autoSpaceDN w:val="0"/>
        <w:adjustRightInd w:val="0"/>
        <w:spacing w:line="360" w:lineRule="auto"/>
        <w:ind w:right="216"/>
        <w:rPr>
          <w:rFonts w:hint="eastAsia" w:ascii="宋体" w:hAnsi="宋体" w:cs="宋体"/>
        </w:rPr>
      </w:pPr>
    </w:p>
    <w:p>
      <w:pPr>
        <w:autoSpaceDE w:val="0"/>
        <w:autoSpaceDN w:val="0"/>
        <w:adjustRightInd w:val="0"/>
        <w:spacing w:line="360" w:lineRule="auto"/>
        <w:ind w:right="216"/>
        <w:rPr>
          <w:rFonts w:hint="eastAsia" w:ascii="宋体" w:hAnsi="宋体" w:cs="宋体"/>
        </w:rPr>
      </w:pPr>
    </w:p>
    <w:p>
      <w:pPr>
        <w:autoSpaceDE w:val="0"/>
        <w:autoSpaceDN w:val="0"/>
        <w:adjustRightInd w:val="0"/>
        <w:spacing w:line="360" w:lineRule="auto"/>
        <w:ind w:right="216"/>
        <w:rPr>
          <w:rFonts w:hint="eastAsia" w:ascii="宋体" w:hAnsi="宋体" w:cs="宋体"/>
        </w:rPr>
      </w:pPr>
    </w:p>
    <w:p>
      <w:pPr>
        <w:spacing w:line="400" w:lineRule="exact"/>
        <w:ind w:firstLine="4725" w:firstLineChars="2250"/>
        <w:rPr>
          <w:rFonts w:hint="eastAsia" w:ascii="宋体" w:hAnsi="宋体" w:cs="宋体"/>
          <w:szCs w:val="21"/>
        </w:rPr>
      </w:pPr>
      <w:bookmarkStart w:id="105" w:name="_Toc421004212"/>
      <w:bookmarkStart w:id="106" w:name="_Toc421205775"/>
      <w:bookmarkStart w:id="107" w:name="_Toc420684778"/>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p>
    <w:p>
      <w:pPr>
        <w:spacing w:line="400" w:lineRule="exact"/>
        <w:ind w:firstLine="4725" w:firstLineChars="2250"/>
        <w:rPr>
          <w:rFonts w:hint="eastAsia" w:ascii="宋体" w:hAnsi="宋体" w:cs="宋体"/>
          <w:szCs w:val="21"/>
        </w:rPr>
      </w:pPr>
      <w:r>
        <w:rPr>
          <w:rFonts w:hint="eastAsia" w:ascii="宋体" w:hAnsi="宋体" w:cs="宋体"/>
          <w:szCs w:val="21"/>
        </w:rPr>
        <w:t>投标人名称(加盖公章)：</w:t>
      </w:r>
    </w:p>
    <w:p>
      <w:pPr>
        <w:spacing w:line="400" w:lineRule="exact"/>
        <w:ind w:firstLine="4725" w:firstLineChars="2250"/>
        <w:rPr>
          <w:rFonts w:hint="eastAsia" w:ascii="宋体" w:hAnsi="宋体" w:cs="宋体"/>
          <w:szCs w:val="21"/>
          <w:u w:val="single"/>
        </w:rPr>
      </w:pPr>
      <w:r>
        <w:rPr>
          <w:rFonts w:hint="eastAsia" w:ascii="宋体" w:hAnsi="宋体" w:cs="宋体"/>
          <w:szCs w:val="21"/>
        </w:rPr>
        <w:t>法定代表人或授权委托人(签名或盖章)：</w:t>
      </w:r>
    </w:p>
    <w:p>
      <w:pPr>
        <w:spacing w:line="400" w:lineRule="exact"/>
        <w:ind w:firstLine="4725" w:firstLineChars="2250"/>
        <w:rPr>
          <w:rFonts w:hint="eastAsia" w:ascii="宋体" w:hAnsi="宋体" w:cs="宋体"/>
        </w:rPr>
      </w:pPr>
      <w:r>
        <w:rPr>
          <w:rFonts w:hint="eastAsia" w:ascii="宋体" w:hAnsi="宋体" w:cs="宋体"/>
        </w:rPr>
        <w:t xml:space="preserve">日          期：            </w:t>
      </w: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为方便开标唱标，投标人提交投标文件时还须单独提交一个密封信封，并在信封上标明</w:t>
      </w:r>
      <w:r>
        <w:rPr>
          <w:rFonts w:ascii="宋体" w:hAnsi="宋体" w:cs="宋体"/>
          <w:b/>
          <w:sz w:val="24"/>
          <w:szCs w:val="24"/>
        </w:rPr>
        <w:t xml:space="preserve"> </w:t>
      </w:r>
      <w:r>
        <w:rPr>
          <w:rFonts w:hint="eastAsia" w:ascii="宋体" w:hAnsi="宋体" w:cs="宋体"/>
          <w:b/>
          <w:sz w:val="24"/>
          <w:szCs w:val="24"/>
        </w:rPr>
        <w:t>“唱标信封”的字样，并将下列内容单独密封入该信封。</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1、投标函（从投标文件正本中复印）；</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rPr>
        <w:t>2、开标一览表（从投标文件正本中复印）；</w:t>
      </w:r>
    </w:p>
    <w:p>
      <w:pPr>
        <w:pStyle w:val="2"/>
        <w:spacing w:line="360" w:lineRule="auto"/>
        <w:ind w:firstLine="482" w:firstLineChars="200"/>
        <w:rPr>
          <w:rFonts w:hint="eastAsia" w:ascii="宋体" w:hAnsi="宋体" w:cs="宋体"/>
          <w:b/>
          <w:sz w:val="24"/>
          <w:szCs w:val="24"/>
          <w:lang w:eastAsia="zh-CN"/>
        </w:rPr>
      </w:pPr>
      <w:r>
        <w:rPr>
          <w:rFonts w:hint="eastAsia" w:ascii="宋体" w:hAnsi="宋体" w:cs="宋体"/>
          <w:b/>
          <w:sz w:val="24"/>
          <w:szCs w:val="24"/>
        </w:rPr>
        <w:t>3、法定代表人证明书/法定代表人授权书</w:t>
      </w:r>
      <w:r>
        <w:rPr>
          <w:rFonts w:hint="eastAsia" w:ascii="宋体" w:hAnsi="宋体" w:cs="宋体"/>
          <w:b/>
          <w:sz w:val="24"/>
          <w:szCs w:val="24"/>
          <w:lang w:eastAsia="zh-CN"/>
        </w:rPr>
        <w:t>（</w:t>
      </w:r>
      <w:r>
        <w:rPr>
          <w:rFonts w:hint="eastAsia" w:ascii="宋体" w:hAnsi="宋体" w:cs="宋体"/>
          <w:b/>
          <w:sz w:val="24"/>
          <w:szCs w:val="24"/>
        </w:rPr>
        <w:t>（从投标文件正本中复印）</w:t>
      </w:r>
    </w:p>
    <w:p>
      <w:pPr>
        <w:pStyle w:val="2"/>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rPr>
        <w:t>投标保证金交付凭证复印件；</w:t>
      </w:r>
    </w:p>
    <w:p>
      <w:pPr>
        <w:pStyle w:val="2"/>
        <w:spacing w:line="360" w:lineRule="auto"/>
        <w:rPr>
          <w:rFonts w:hint="eastAsia" w:ascii="宋体" w:hAnsi="宋体" w:cs="宋体"/>
          <w:b/>
          <w:sz w:val="24"/>
          <w:szCs w:val="24"/>
        </w:rPr>
      </w:pPr>
      <w:r>
        <w:rPr>
          <w:rFonts w:hint="eastAsia" w:ascii="宋体" w:hAnsi="宋体" w:cs="宋体"/>
          <w:b/>
          <w:sz w:val="24"/>
          <w:szCs w:val="24"/>
        </w:rPr>
        <w:t>（上述文件须加盖投标人公章和法定代表人或授权委托人签名或盖章。）</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bookmarkEnd w:id="105"/>
    <w:bookmarkEnd w:id="106"/>
    <w:bookmarkEnd w:id="107"/>
    <w:p>
      <w:pPr>
        <w:spacing w:line="360" w:lineRule="auto"/>
        <w:rPr>
          <w:rFonts w:hint="eastAsia" w:ascii="宋体" w:hAnsi="宋体" w:cs="宋体"/>
        </w:rPr>
      </w:pPr>
    </w:p>
    <w:p>
      <w:pPr>
        <w:rPr>
          <w:b/>
          <w:szCs w:val="21"/>
        </w:rPr>
      </w:pPr>
    </w:p>
    <w:sectPr>
      <w:pgSz w:w="11907" w:h="16840"/>
      <w:pgMar w:top="1417" w:right="1417" w:bottom="1417" w:left="1417" w:header="794" w:footer="794" w:gutter="0"/>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326"/>
        <w:tab w:val="center" w:pos="4670"/>
      </w:tabs>
      <w:ind w:right="360"/>
      <w:jc w:val="center"/>
      <w:rPr>
        <w:rFonts w:ascii="宋体"/>
      </w:rPr>
    </w:pPr>
    <w:r>
      <w:rPr>
        <w:rFonts w:ascii="Times New Roman" w:hAnsi="Times New Roman" w:eastAsia="宋体" w:cs="Times New Roman"/>
        <w:sz w:val="18"/>
        <w:lang w:val="en-US" w:eastAsia="zh-CN" w:bidi="ar-SA"/>
      </w:rPr>
      <w:pict>
        <v:rect id="文本框 4" o:spid="_x0000_s2050" o:spt="1" style="position:absolute;left:0pt;margin-top:-1.25pt;height:11.65pt;width:69.5pt;mso-position-horizontal:center;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65</w:t>
                </w:r>
                <w:r>
                  <w:rPr>
                    <w:sz w:val="18"/>
                  </w:rPr>
                  <w:fldChar w:fldCharType="end"/>
                </w:r>
                <w:r>
                  <w:rPr>
                    <w:rFonts w:hint="eastAsia"/>
                    <w:sz w:val="18"/>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ascii="Times New Roman" w:hAnsi="Times New Roman" w:eastAsia="宋体" w:cs="Times New Roman"/>
        <w:sz w:val="18"/>
        <w:lang w:val="en-US" w:eastAsia="zh-CN" w:bidi="ar-SA"/>
      </w:rPr>
      <w:pict>
        <v:rect id="文本框 5" o:spid="_x0000_s2049" o:spt="1" style="position:absolute;left:0pt;margin-top:0pt;height:12.4pt;width:61.5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w:t>
                </w:r>
                <w:r>
                  <w:rPr>
                    <w:sz w:val="18"/>
                  </w:rPr>
                  <w:fldChar w:fldCharType="end"/>
                </w:r>
                <w:r>
                  <w:rPr>
                    <w:rFonts w:hint="eastAsia"/>
                    <w:sz w:val="18"/>
                  </w:rPr>
                  <w:t xml:space="preserve"> 页</w:t>
                </w:r>
              </w:p>
            </w:txbxContent>
          </v:textbox>
        </v:rect>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06C4E"/>
    <w:multiLevelType w:val="singleLevel"/>
    <w:tmpl w:val="8B806C4E"/>
    <w:lvl w:ilvl="0" w:tentative="0">
      <w:start w:val="1"/>
      <w:numFmt w:val="decimal"/>
      <w:suff w:val="space"/>
      <w:lvlText w:val="(%1)"/>
      <w:lvlJc w:val="left"/>
    </w:lvl>
  </w:abstractNum>
  <w:abstractNum w:abstractNumId="1">
    <w:nsid w:val="94D7E19F"/>
    <w:multiLevelType w:val="singleLevel"/>
    <w:tmpl w:val="94D7E19F"/>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pStyle w:val="98"/>
      <w:lvlText w:val="%1、"/>
      <w:lvlJc w:val="left"/>
      <w:pPr>
        <w:tabs>
          <w:tab w:val="left" w:pos="1290"/>
        </w:tabs>
        <w:ind w:left="1290"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5"/>
    <w:multiLevelType w:val="multilevel"/>
    <w:tmpl w:val="00000005"/>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decimal"/>
      <w:lvlText w:val="%2."/>
      <w:lvlJc w:val="left"/>
      <w:pPr>
        <w:tabs>
          <w:tab w:val="left" w:pos="1680"/>
        </w:tabs>
        <w:ind w:left="1680" w:hanging="420"/>
      </w:pPr>
      <w:rPr>
        <w:rFonts w:hint="default"/>
        <w:color w:val="000000"/>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4">
    <w:nsid w:val="00000006"/>
    <w:multiLevelType w:val="multilevel"/>
    <w:tmpl w:val="00000006"/>
    <w:lvl w:ilvl="0" w:tentative="0">
      <w:start w:val="1"/>
      <w:numFmt w:val="decimal"/>
      <w:lvlText w:val="%1、"/>
      <w:lvlJc w:val="left"/>
      <w:pPr>
        <w:tabs>
          <w:tab w:val="left" w:pos="1140"/>
        </w:tabs>
        <w:ind w:left="1140" w:hanging="420"/>
      </w:pPr>
      <w:rPr>
        <w:rFonts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multilevel"/>
    <w:tmpl w:val="00000007"/>
    <w:lvl w:ilvl="0" w:tentative="0">
      <w:start w:val="1"/>
      <w:numFmt w:val="decimal"/>
      <w:lvlText w:val="%1、"/>
      <w:lvlJc w:val="left"/>
      <w:pPr>
        <w:tabs>
          <w:tab w:val="left" w:pos="1140"/>
        </w:tabs>
        <w:ind w:left="1140" w:hanging="420"/>
      </w:pPr>
      <w:rPr>
        <w:rFonts w:ascii="宋体" w:hAnsi="宋体" w:eastAsia="宋体" w:cs="Times New Roman"/>
      </w:rPr>
    </w:lvl>
    <w:lvl w:ilvl="1" w:tentative="0">
      <w:start w:val="1"/>
      <w:numFmt w:val="decimal"/>
      <w:lvlText w:val="（%2）"/>
      <w:lvlJc w:val="left"/>
      <w:pPr>
        <w:tabs>
          <w:tab w:val="left" w:pos="1860"/>
        </w:tabs>
        <w:ind w:left="1860" w:hanging="720"/>
      </w:pPr>
      <w:rPr>
        <w:rFonts w:hint="eastAsia"/>
      </w:rPr>
    </w:lvl>
    <w:lvl w:ilvl="2" w:tentative="0">
      <w:start w:val="1"/>
      <w:numFmt w:val="decimal"/>
      <w:lvlText w:val="%3）"/>
      <w:lvlJc w:val="left"/>
      <w:pPr>
        <w:tabs>
          <w:tab w:val="left" w:pos="1920"/>
        </w:tabs>
        <w:ind w:left="1920" w:hanging="360"/>
      </w:pPr>
      <w:rPr>
        <w:rFonts w:hint="default"/>
      </w:rPr>
    </w:lvl>
    <w:lvl w:ilvl="3" w:tentative="0">
      <w:start w:val="2"/>
      <w:numFmt w:val="decimal"/>
      <w:lvlText w:val="%4．"/>
      <w:lvlJc w:val="left"/>
      <w:pPr>
        <w:tabs>
          <w:tab w:val="left" w:pos="2340"/>
        </w:tabs>
        <w:ind w:left="2340" w:hanging="360"/>
      </w:pPr>
      <w:rPr>
        <w:rFonts w:hint="default"/>
      </w:r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6">
    <w:nsid w:val="0000000A"/>
    <w:multiLevelType w:val="multilevel"/>
    <w:tmpl w:val="0000000A"/>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ascii="宋体" w:hAnsi="宋体" w:eastAsia="宋体"/>
        <w:sz w:val="21"/>
        <w:szCs w:val="28"/>
      </w:rPr>
    </w:lvl>
    <w:lvl w:ilvl="2" w:tentative="0">
      <w:start w:val="1"/>
      <w:numFmt w:val="decimal"/>
      <w:lvlText w:val="%3、"/>
      <w:lvlJc w:val="left"/>
      <w:pPr>
        <w:tabs>
          <w:tab w:val="left" w:pos="1260"/>
        </w:tabs>
        <w:ind w:left="1260" w:hanging="420"/>
      </w:pPr>
      <w:rPr>
        <w:rFonts w:hint="default"/>
        <w:color w:val="000000"/>
      </w:rPr>
    </w:lvl>
    <w:lvl w:ilvl="3" w:tentative="0">
      <w:start w:val="1"/>
      <w:numFmt w:val="decimal"/>
      <w:lvlText w:val="(%4)"/>
      <w:lvlJc w:val="left"/>
      <w:pPr>
        <w:tabs>
          <w:tab w:val="left" w:pos="1785"/>
        </w:tabs>
        <w:ind w:left="1785" w:hanging="525"/>
      </w:pPr>
      <w:rPr>
        <w:rFonts w:hint="default"/>
      </w:rPr>
    </w:lvl>
    <w:lvl w:ilvl="4" w:tentative="0">
      <w:start w:val="1"/>
      <w:numFmt w:val="japaneseCounting"/>
      <w:lvlText w:val="第%5章"/>
      <w:lvlJc w:val="left"/>
      <w:pPr>
        <w:tabs>
          <w:tab w:val="left" w:pos="2880"/>
        </w:tabs>
        <w:ind w:left="2880" w:hanging="1200"/>
      </w:pPr>
      <w:rPr>
        <w:rFonts w:hint="default"/>
      </w:rPr>
    </w:lvl>
    <w:lvl w:ilvl="5" w:tentative="0">
      <w:start w:val="1"/>
      <w:numFmt w:val="decimal"/>
      <w:lvlText w:val="%6、"/>
      <w:lvlJc w:val="left"/>
      <w:pPr>
        <w:tabs>
          <w:tab w:val="left" w:pos="0"/>
        </w:tabs>
        <w:ind w:left="2790" w:hanging="69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decimal"/>
      <w:lvlText w:val="%1、"/>
      <w:lvlJc w:val="left"/>
      <w:pPr>
        <w:tabs>
          <w:tab w:val="left" w:pos="1140"/>
        </w:tabs>
        <w:ind w:left="1140" w:hanging="420"/>
      </w:pPr>
      <w:rPr>
        <w:rFonts w:ascii="Times New Roman" w:hAnsi="Times New Roman" w:eastAsia="Times New Roman" w:cs="Times New Roman"/>
      </w:rPr>
    </w:lvl>
    <w:lvl w:ilvl="1" w:tentative="0">
      <w:start w:val="1"/>
      <w:numFmt w:val="lowerLetter"/>
      <w:lvlText w:val="%2)"/>
      <w:lvlJc w:val="left"/>
      <w:pPr>
        <w:tabs>
          <w:tab w:val="left" w:pos="1390"/>
        </w:tabs>
        <w:ind w:left="1390" w:hanging="420"/>
      </w:pPr>
    </w:lvl>
    <w:lvl w:ilvl="2" w:tentative="0">
      <w:start w:val="1"/>
      <w:numFmt w:val="lowerRoman"/>
      <w:lvlText w:val="%3."/>
      <w:lvlJc w:val="right"/>
      <w:pPr>
        <w:tabs>
          <w:tab w:val="left" w:pos="1810"/>
        </w:tabs>
        <w:ind w:left="1810" w:hanging="420"/>
      </w:pPr>
    </w:lvl>
    <w:lvl w:ilvl="3" w:tentative="0">
      <w:start w:val="1"/>
      <w:numFmt w:val="decimal"/>
      <w:lvlText w:val="%4."/>
      <w:lvlJc w:val="left"/>
      <w:pPr>
        <w:tabs>
          <w:tab w:val="left" w:pos="2230"/>
        </w:tabs>
        <w:ind w:left="2230" w:hanging="420"/>
      </w:pPr>
    </w:lvl>
    <w:lvl w:ilvl="4" w:tentative="0">
      <w:start w:val="1"/>
      <w:numFmt w:val="lowerLetter"/>
      <w:lvlText w:val="%5)"/>
      <w:lvlJc w:val="left"/>
      <w:pPr>
        <w:tabs>
          <w:tab w:val="left" w:pos="2650"/>
        </w:tabs>
        <w:ind w:left="2650" w:hanging="420"/>
      </w:pPr>
    </w:lvl>
    <w:lvl w:ilvl="5" w:tentative="0">
      <w:start w:val="1"/>
      <w:numFmt w:val="lowerRoman"/>
      <w:lvlText w:val="%6."/>
      <w:lvlJc w:val="right"/>
      <w:pPr>
        <w:tabs>
          <w:tab w:val="left" w:pos="3070"/>
        </w:tabs>
        <w:ind w:left="3070" w:hanging="420"/>
      </w:pPr>
    </w:lvl>
    <w:lvl w:ilvl="6" w:tentative="0">
      <w:start w:val="1"/>
      <w:numFmt w:val="decimal"/>
      <w:lvlText w:val="%7."/>
      <w:lvlJc w:val="left"/>
      <w:pPr>
        <w:tabs>
          <w:tab w:val="left" w:pos="3490"/>
        </w:tabs>
        <w:ind w:left="3490" w:hanging="420"/>
      </w:pPr>
    </w:lvl>
    <w:lvl w:ilvl="7" w:tentative="0">
      <w:start w:val="1"/>
      <w:numFmt w:val="lowerLetter"/>
      <w:lvlText w:val="%8)"/>
      <w:lvlJc w:val="left"/>
      <w:pPr>
        <w:tabs>
          <w:tab w:val="left" w:pos="3910"/>
        </w:tabs>
        <w:ind w:left="3910" w:hanging="420"/>
      </w:pPr>
    </w:lvl>
    <w:lvl w:ilvl="8" w:tentative="0">
      <w:start w:val="1"/>
      <w:numFmt w:val="lowerRoman"/>
      <w:lvlText w:val="%9."/>
      <w:lvlJc w:val="right"/>
      <w:pPr>
        <w:tabs>
          <w:tab w:val="left" w:pos="4330"/>
        </w:tabs>
        <w:ind w:left="4330" w:hanging="420"/>
      </w:pPr>
    </w:lvl>
  </w:abstractNum>
  <w:abstractNum w:abstractNumId="8">
    <w:nsid w:val="00000012"/>
    <w:multiLevelType w:val="multilevel"/>
    <w:tmpl w:val="00000012"/>
    <w:lvl w:ilvl="0" w:tentative="0">
      <w:start w:val="1"/>
      <w:numFmt w:val="decimal"/>
      <w:lvlText w:val="%1."/>
      <w:lvlJc w:val="left"/>
      <w:pPr>
        <w:tabs>
          <w:tab w:val="left" w:pos="420"/>
        </w:tabs>
        <w:ind w:left="420" w:hanging="420"/>
      </w:pPr>
      <w:rPr>
        <w:rFonts w:hint="default" w:ascii="Times New Roman" w:hAnsi="Times New Roman" w:cs="Times New Roman"/>
        <w:b w:val="0"/>
      </w:rPr>
    </w:lvl>
    <w:lvl w:ilvl="1" w:tentative="0">
      <w:start w:val="4"/>
      <w:numFmt w:val="decimal"/>
      <w:lvlText w:val="%2、"/>
      <w:lvlJc w:val="left"/>
      <w:pPr>
        <w:tabs>
          <w:tab w:val="left" w:pos="780"/>
        </w:tabs>
        <w:ind w:left="780" w:hanging="360"/>
      </w:pPr>
      <w:rPr>
        <w:rFonts w:hint="default" w:ascii="宋体" w:hAnsi="宋体" w:cs="Times New Roman"/>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4"/>
    <w:multiLevelType w:val="multilevel"/>
    <w:tmpl w:val="00000014"/>
    <w:lvl w:ilvl="0" w:tentative="0">
      <w:start w:val="1"/>
      <w:numFmt w:val="decimal"/>
      <w:lvlText w:val="%1．"/>
      <w:lvlJc w:val="left"/>
      <w:pPr>
        <w:tabs>
          <w:tab w:val="left" w:pos="720"/>
        </w:tabs>
        <w:ind w:left="720" w:hanging="720"/>
      </w:pPr>
      <w:rPr>
        <w:rFonts w:hint="eastAsia" w:ascii="宋体" w:hAnsi="宋体"/>
        <w:b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5"/>
    <w:multiLevelType w:val="multilevel"/>
    <w:tmpl w:val="00000015"/>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multilevel"/>
    <w:tmpl w:val="00000016"/>
    <w:lvl w:ilvl="0" w:tentative="0">
      <w:start w:val="1"/>
      <w:numFmt w:val="decimal"/>
      <w:lvlText w:val="%1."/>
      <w:lvlJc w:val="left"/>
      <w:pPr>
        <w:tabs>
          <w:tab w:val="left" w:pos="590"/>
        </w:tabs>
        <w:ind w:left="59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B"/>
    <w:multiLevelType w:val="multilevel"/>
    <w:tmpl w:val="0000001B"/>
    <w:lvl w:ilvl="0" w:tentative="0">
      <w:start w:val="1"/>
      <w:numFmt w:val="decimal"/>
      <w:lvlText w:val="%1."/>
      <w:lvlJc w:val="left"/>
      <w:pPr>
        <w:tabs>
          <w:tab w:val="left" w:pos="590"/>
        </w:tabs>
        <w:ind w:left="590" w:hanging="420"/>
      </w:pPr>
      <w:rPr>
        <w:rFonts w:ascii="宋体" w:hAnsi="宋体" w:eastAsia="宋体"/>
      </w:rPr>
    </w:lvl>
    <w:lvl w:ilvl="1" w:tentative="0">
      <w:start w:val="1"/>
      <w:numFmt w:val="decimal"/>
      <w:lvlText w:val="%2、"/>
      <w:lvlJc w:val="left"/>
      <w:pPr>
        <w:tabs>
          <w:tab w:val="left" w:pos="1080"/>
        </w:tabs>
        <w:ind w:left="1080" w:hanging="360"/>
      </w:pPr>
      <w:rPr>
        <w:rFonts w:hint="eastAsia"/>
      </w:rPr>
    </w:lvl>
    <w:lvl w:ilvl="2" w:tentative="0">
      <w:start w:val="1"/>
      <w:numFmt w:val="lowerRoman"/>
      <w:lvlText w:val="%3."/>
      <w:lvlJc w:val="right"/>
      <w:pPr>
        <w:tabs>
          <w:tab w:val="left" w:pos="1430"/>
        </w:tabs>
        <w:ind w:left="1430" w:hanging="420"/>
      </w:pPr>
    </w:lvl>
    <w:lvl w:ilvl="3" w:tentative="0">
      <w:start w:val="1"/>
      <w:numFmt w:val="decimal"/>
      <w:lvlText w:val="%4."/>
      <w:lvlJc w:val="left"/>
      <w:pPr>
        <w:tabs>
          <w:tab w:val="left" w:pos="1850"/>
        </w:tabs>
        <w:ind w:left="1850" w:hanging="420"/>
      </w:pPr>
    </w:lvl>
    <w:lvl w:ilvl="4" w:tentative="0">
      <w:start w:val="1"/>
      <w:numFmt w:val="lowerLetter"/>
      <w:lvlText w:val="%5)"/>
      <w:lvlJc w:val="left"/>
      <w:pPr>
        <w:tabs>
          <w:tab w:val="left" w:pos="2270"/>
        </w:tabs>
        <w:ind w:left="2270" w:hanging="420"/>
      </w:pPr>
    </w:lvl>
    <w:lvl w:ilvl="5" w:tentative="0">
      <w:start w:val="1"/>
      <w:numFmt w:val="lowerRoman"/>
      <w:lvlText w:val="%6."/>
      <w:lvlJc w:val="right"/>
      <w:pPr>
        <w:tabs>
          <w:tab w:val="left" w:pos="2690"/>
        </w:tabs>
        <w:ind w:left="2690" w:hanging="420"/>
      </w:pPr>
    </w:lvl>
    <w:lvl w:ilvl="6" w:tentative="0">
      <w:start w:val="1"/>
      <w:numFmt w:val="decimal"/>
      <w:lvlText w:val="%7."/>
      <w:lvlJc w:val="left"/>
      <w:pPr>
        <w:tabs>
          <w:tab w:val="left" w:pos="3110"/>
        </w:tabs>
        <w:ind w:left="3110" w:hanging="420"/>
      </w:pPr>
    </w:lvl>
    <w:lvl w:ilvl="7" w:tentative="0">
      <w:start w:val="1"/>
      <w:numFmt w:val="lowerLetter"/>
      <w:lvlText w:val="%8)"/>
      <w:lvlJc w:val="left"/>
      <w:pPr>
        <w:tabs>
          <w:tab w:val="left" w:pos="3530"/>
        </w:tabs>
        <w:ind w:left="3530" w:hanging="420"/>
      </w:pPr>
    </w:lvl>
    <w:lvl w:ilvl="8" w:tentative="0">
      <w:start w:val="1"/>
      <w:numFmt w:val="lowerRoman"/>
      <w:lvlText w:val="%9."/>
      <w:lvlJc w:val="right"/>
      <w:pPr>
        <w:tabs>
          <w:tab w:val="left" w:pos="3950"/>
        </w:tabs>
        <w:ind w:left="3950" w:hanging="420"/>
      </w:pPr>
    </w:lvl>
  </w:abstractNum>
  <w:abstractNum w:abstractNumId="13">
    <w:nsid w:val="0000001D"/>
    <w:multiLevelType w:val="multilevel"/>
    <w:tmpl w:val="0000001D"/>
    <w:lvl w:ilvl="0" w:tentative="0">
      <w:start w:val="3"/>
      <w:numFmt w:val="decimal"/>
      <w:lvlText w:val="%1."/>
      <w:lvlJc w:val="left"/>
      <w:pPr>
        <w:tabs>
          <w:tab w:val="left" w:pos="630"/>
        </w:tabs>
        <w:ind w:left="630" w:hanging="63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decimal"/>
      <w:lvlText w:val="%1．"/>
      <w:lvlJc w:val="left"/>
      <w:pPr>
        <w:tabs>
          <w:tab w:val="left" w:pos="360"/>
        </w:tabs>
        <w:ind w:left="360" w:hanging="360"/>
      </w:pPr>
      <w:rPr>
        <w:rFonts w:hint="eastAsia"/>
      </w:rPr>
    </w:lvl>
    <w:lvl w:ilvl="1" w:tentative="0">
      <w:start w:val="6"/>
      <w:numFmt w:val="decimal"/>
      <w:lvlText w:val="%2、"/>
      <w:lvlJc w:val="left"/>
      <w:pPr>
        <w:tabs>
          <w:tab w:val="left" w:pos="780"/>
        </w:tabs>
        <w:ind w:left="780" w:hanging="360"/>
      </w:pPr>
      <w:rPr>
        <w:rFonts w:hint="default" w:ascii="宋体" w:hAnsi="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7"/>
    <w:multiLevelType w:val="multilevel"/>
    <w:tmpl w:val="00000027"/>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B"/>
    <w:multiLevelType w:val="multilevel"/>
    <w:tmpl w:val="0000002B"/>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7">
    <w:nsid w:val="0000002F"/>
    <w:multiLevelType w:val="multilevel"/>
    <w:tmpl w:val="0000002F"/>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2480"/>
        </w:tabs>
        <w:ind w:left="24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32"/>
    <w:multiLevelType w:val="multilevel"/>
    <w:tmpl w:val="00000032"/>
    <w:lvl w:ilvl="0" w:tentative="0">
      <w:start w:val="1"/>
      <w:numFmt w:val="chineseCountingThousand"/>
      <w:lvlText w:val="%1、"/>
      <w:lvlJc w:val="left"/>
      <w:pPr>
        <w:tabs>
          <w:tab w:val="left" w:pos="720"/>
        </w:tabs>
        <w:ind w:left="170" w:hanging="170"/>
      </w:pPr>
      <w:rPr>
        <w:rFonts w:hint="eastAsia"/>
        <w:b/>
      </w:rPr>
    </w:lvl>
    <w:lvl w:ilvl="1" w:tentative="0">
      <w:start w:val="1"/>
      <w:numFmt w:val="decimal"/>
      <w:lvlText w:val="%2．"/>
      <w:lvlJc w:val="left"/>
      <w:pPr>
        <w:tabs>
          <w:tab w:val="left" w:pos="374"/>
        </w:tabs>
        <w:ind w:left="374" w:hanging="374"/>
      </w:pPr>
      <w:rPr>
        <w:rFonts w:hint="default" w:ascii="Times New Roman" w:hAnsi="Times New Roman" w:eastAsia="宋体" w:cs="Times New Roman"/>
        <w:b w:val="0"/>
        <w:i w:val="0"/>
        <w:sz w:val="21"/>
      </w:rPr>
    </w:lvl>
    <w:lvl w:ilvl="2" w:tentative="0">
      <w:start w:val="1"/>
      <w:numFmt w:val="lowerLetter"/>
      <w:lvlText w:val="%3)"/>
      <w:lvlJc w:val="left"/>
      <w:pPr>
        <w:tabs>
          <w:tab w:val="left" w:pos="1200"/>
        </w:tabs>
        <w:ind w:left="1180" w:hanging="340"/>
      </w:pPr>
      <w:rPr>
        <w:rFonts w:hint="eastAsia" w:ascii="宋体" w:eastAsia="宋体"/>
        <w:b w:val="0"/>
        <w:i w:val="0"/>
        <w:sz w:val="21"/>
      </w:rPr>
    </w:lvl>
    <w:lvl w:ilvl="3" w:tentative="0">
      <w:start w:val="1"/>
      <w:numFmt w:val="decimal"/>
      <w:lvlText w:val="%4."/>
      <w:lvlJc w:val="left"/>
      <w:pPr>
        <w:tabs>
          <w:tab w:val="left" w:pos="1680"/>
        </w:tabs>
        <w:ind w:left="1680" w:hanging="420"/>
      </w:pPr>
      <w:rPr>
        <w:rFonts w:hint="eastAsia"/>
        <w:b w:val="0"/>
      </w:rPr>
    </w:lvl>
    <w:lvl w:ilvl="4" w:tentative="0">
      <w:start w:val="1"/>
      <w:numFmt w:val="decimal"/>
      <w:lvlText w:val="%5）"/>
      <w:lvlJc w:val="left"/>
      <w:pPr>
        <w:tabs>
          <w:tab w:val="left" w:pos="2040"/>
        </w:tabs>
        <w:ind w:left="2040" w:hanging="360"/>
      </w:pPr>
      <w:rPr>
        <w:rFonts w:hint="default"/>
        <w:b w:val="0"/>
        <w:sz w:val="21"/>
        <w:szCs w:val="21"/>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34"/>
    <w:multiLevelType w:val="multilevel"/>
    <w:tmpl w:val="00000034"/>
    <w:lvl w:ilvl="0" w:tentative="0">
      <w:start w:val="1"/>
      <w:numFmt w:val="decimal"/>
      <w:lvlText w:val="%1."/>
      <w:lvlJc w:val="left"/>
      <w:pPr>
        <w:tabs>
          <w:tab w:val="left" w:pos="420"/>
        </w:tabs>
        <w:ind w:left="420" w:hanging="420"/>
      </w:pPr>
    </w:lvl>
    <w:lvl w:ilvl="1" w:tentative="0">
      <w:start w:val="5"/>
      <w:numFmt w:val="decimal"/>
      <w:lvlText w:val="%2、"/>
      <w:lvlJc w:val="left"/>
      <w:pPr>
        <w:tabs>
          <w:tab w:val="left" w:pos="780"/>
        </w:tabs>
        <w:ind w:left="780" w:hanging="360"/>
      </w:pPr>
      <w:rPr>
        <w:rFonts w:hint="default" w:ascii="宋体" w:hAnsi="宋体" w:cs="Times New Roman"/>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35"/>
    <w:multiLevelType w:val="multilevel"/>
    <w:tmpl w:val="00000035"/>
    <w:lvl w:ilvl="0" w:tentative="0">
      <w:start w:val="1"/>
      <w:numFmt w:val="decimal"/>
      <w:lvlText w:val="%1."/>
      <w:lvlJc w:val="left"/>
      <w:pPr>
        <w:tabs>
          <w:tab w:val="left" w:pos="590"/>
        </w:tabs>
        <w:ind w:left="59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4A97026"/>
    <w:multiLevelType w:val="multilevel"/>
    <w:tmpl w:val="04A970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5BF2BB4"/>
    <w:multiLevelType w:val="multilevel"/>
    <w:tmpl w:val="05BF2BB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1860"/>
        </w:tabs>
        <w:ind w:left="1860" w:hanging="720"/>
      </w:pPr>
      <w:rPr>
        <w:rFonts w:hint="eastAsia"/>
      </w:rPr>
    </w:lvl>
    <w:lvl w:ilvl="2" w:tentative="0">
      <w:start w:val="1"/>
      <w:numFmt w:val="decimal"/>
      <w:lvlText w:val="%3)"/>
      <w:lvlJc w:val="left"/>
      <w:pPr>
        <w:tabs>
          <w:tab w:val="left" w:pos="2250"/>
        </w:tabs>
        <w:ind w:left="2250" w:hanging="690"/>
      </w:pPr>
      <w:rPr>
        <w:rFonts w:hint="default"/>
      </w:rPr>
    </w:lvl>
    <w:lvl w:ilvl="3" w:tentative="0">
      <w:start w:val="1"/>
      <w:numFmt w:val="lowerLetter"/>
      <w:lvlText w:val="%4)"/>
      <w:lvlJc w:val="left"/>
      <w:pPr>
        <w:tabs>
          <w:tab w:val="left" w:pos="2340"/>
        </w:tabs>
        <w:ind w:left="2340" w:hanging="360"/>
      </w:pPr>
      <w:rPr>
        <w:rFonts w:hint="default"/>
      </w:rPr>
    </w:lvl>
    <w:lvl w:ilvl="4" w:tentative="0">
      <w:start w:val="1"/>
      <w:numFmt w:val="decimal"/>
      <w:lvlText w:val="%5）"/>
      <w:lvlJc w:val="left"/>
      <w:pPr>
        <w:tabs>
          <w:tab w:val="left" w:pos="3135"/>
        </w:tabs>
        <w:ind w:left="3135" w:hanging="735"/>
      </w:pPr>
      <w:rPr>
        <w:rFonts w:hint="default"/>
      </w:rPr>
    </w:lvl>
    <w:lvl w:ilvl="5" w:tentative="0">
      <w:start w:val="1"/>
      <w:numFmt w:val="decimal"/>
      <w:lvlText w:val="%6."/>
      <w:lvlJc w:val="left"/>
      <w:pPr>
        <w:tabs>
          <w:tab w:val="left" w:pos="3180"/>
        </w:tabs>
        <w:ind w:left="3180" w:hanging="360"/>
      </w:pPr>
      <w:rPr>
        <w:rFonts w:hint="default"/>
      </w:rPr>
    </w:lvl>
    <w:lvl w:ilvl="6" w:tentative="0">
      <w:start w:val="1"/>
      <w:numFmt w:val="decimal"/>
      <w:lvlText w:val="%7、"/>
      <w:lvlJc w:val="left"/>
      <w:pPr>
        <w:tabs>
          <w:tab w:val="left" w:pos="3600"/>
        </w:tabs>
        <w:ind w:left="3600" w:hanging="360"/>
      </w:pPr>
      <w:rPr>
        <w:rFonts w:hint="default"/>
      </w:r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3">
    <w:nsid w:val="08445482"/>
    <w:multiLevelType w:val="multilevel"/>
    <w:tmpl w:val="0844548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japaneseCounting"/>
      <w:lvlText w:val="%6、"/>
      <w:lvlJc w:val="left"/>
      <w:pPr>
        <w:tabs>
          <w:tab w:val="left" w:pos="2580"/>
        </w:tabs>
        <w:ind w:left="2580" w:hanging="480"/>
      </w:pPr>
      <w:rPr>
        <w:rFonts w:hint="eastAsia" w:ascii="Arial" w:hAnsi="Arial"/>
        <w:sz w:val="28"/>
        <w:szCs w:val="28"/>
      </w:rPr>
    </w:lvl>
    <w:lvl w:ilvl="6" w:tentative="0">
      <w:start w:val="1"/>
      <w:numFmt w:val="decimal"/>
      <w:lvlText w:val="%7．"/>
      <w:lvlJc w:val="left"/>
      <w:pPr>
        <w:tabs>
          <w:tab w:val="left" w:pos="3240"/>
        </w:tabs>
        <w:ind w:left="3240" w:hanging="720"/>
      </w:pPr>
      <w:rPr>
        <w:rFonts w:hint="default" w:ascii="Times New Roman" w:hAnsi="Times New Roman" w:cs="Times New Roman"/>
        <w:sz w:val="21"/>
      </w:rPr>
    </w:lvl>
    <w:lvl w:ilvl="7" w:tentative="0">
      <w:start w:val="4"/>
      <w:numFmt w:val="chineseCounting"/>
      <w:suff w:val="space"/>
      <w:lvlText w:val="%8."/>
      <w:lvlJc w:val="left"/>
      <w:rPr>
        <w:rFonts w:hint="eastAsia"/>
      </w:rPr>
    </w:lvl>
    <w:lvl w:ilvl="8" w:tentative="0">
      <w:start w:val="1"/>
      <w:numFmt w:val="lowerRoman"/>
      <w:lvlText w:val="%9."/>
      <w:lvlJc w:val="right"/>
      <w:pPr>
        <w:tabs>
          <w:tab w:val="left" w:pos="3780"/>
        </w:tabs>
        <w:ind w:left="3780" w:hanging="420"/>
      </w:pPr>
    </w:lvl>
  </w:abstractNum>
  <w:abstractNum w:abstractNumId="24">
    <w:nsid w:val="09BD3F7D"/>
    <w:multiLevelType w:val="multilevel"/>
    <w:tmpl w:val="09BD3F7D"/>
    <w:lvl w:ilvl="0" w:tentative="0">
      <w:start w:val="1"/>
      <w:numFmt w:val="decimal"/>
      <w:lvlText w:val="%1."/>
      <w:lvlJc w:val="left"/>
      <w:pPr>
        <w:tabs>
          <w:tab w:val="left" w:pos="420"/>
        </w:tabs>
        <w:ind w:left="420" w:hanging="420"/>
      </w:pPr>
      <w:rPr>
        <w:rFonts w:hint="eastAsia"/>
      </w:rPr>
    </w:lvl>
    <w:lvl w:ilvl="1" w:tentative="0">
      <w:start w:val="1"/>
      <w:numFmt w:val="upperLetter"/>
      <w:lvlText w:val="%2."/>
      <w:lvlJc w:val="left"/>
      <w:pPr>
        <w:tabs>
          <w:tab w:val="left" w:pos="851"/>
        </w:tabs>
        <w:ind w:left="851" w:hanging="426"/>
      </w:pPr>
      <w:rPr>
        <w:rFonts w:hint="eastAsia"/>
      </w:rPr>
    </w:lvl>
    <w:lvl w:ilvl="2" w:tentative="0">
      <w:start w:val="7"/>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25">
    <w:nsid w:val="1A8B0DEE"/>
    <w:multiLevelType w:val="multilevel"/>
    <w:tmpl w:val="1A8B0DEE"/>
    <w:lvl w:ilvl="0" w:tentative="0">
      <w:start w:val="1"/>
      <w:numFmt w:val="bullet"/>
      <w:pStyle w:val="266"/>
      <w:lvlText w:val=""/>
      <w:lvlJc w:val="left"/>
      <w:pPr>
        <w:tabs>
          <w:tab w:val="left" w:pos="907"/>
        </w:tabs>
        <w:ind w:left="907" w:hanging="397"/>
      </w:pPr>
      <w:rPr>
        <w:rFonts w:hint="default" w:ascii="Wingdings" w:hAnsi="Wingdings"/>
      </w:rPr>
    </w:lvl>
    <w:lvl w:ilvl="1" w:tentative="0">
      <w:start w:val="1"/>
      <w:numFmt w:val="bullet"/>
      <w:lvlText w:val=""/>
      <w:lvlJc w:val="left"/>
      <w:pPr>
        <w:tabs>
          <w:tab w:val="left" w:pos="1033"/>
        </w:tabs>
        <w:ind w:left="1033" w:hanging="420"/>
      </w:pPr>
      <w:rPr>
        <w:rFonts w:hint="default" w:ascii="Wingdings" w:hAnsi="Wingdings"/>
      </w:rPr>
    </w:lvl>
    <w:lvl w:ilvl="2" w:tentative="0">
      <w:start w:val="1"/>
      <w:numFmt w:val="bullet"/>
      <w:lvlText w:val=""/>
      <w:lvlJc w:val="left"/>
      <w:pPr>
        <w:tabs>
          <w:tab w:val="left" w:pos="1453"/>
        </w:tabs>
        <w:ind w:left="1453" w:hanging="420"/>
      </w:pPr>
      <w:rPr>
        <w:rFonts w:hint="default" w:ascii="Wingdings" w:hAnsi="Wingdings"/>
      </w:rPr>
    </w:lvl>
    <w:lvl w:ilvl="3" w:tentative="0">
      <w:start w:val="1"/>
      <w:numFmt w:val="bullet"/>
      <w:lvlText w:val=""/>
      <w:lvlJc w:val="left"/>
      <w:pPr>
        <w:tabs>
          <w:tab w:val="left" w:pos="1873"/>
        </w:tabs>
        <w:ind w:left="1873" w:hanging="420"/>
      </w:pPr>
      <w:rPr>
        <w:rFonts w:hint="default" w:ascii="Wingdings" w:hAnsi="Wingdings"/>
      </w:rPr>
    </w:lvl>
    <w:lvl w:ilvl="4" w:tentative="0">
      <w:start w:val="1"/>
      <w:numFmt w:val="bullet"/>
      <w:lvlText w:val=""/>
      <w:lvlJc w:val="left"/>
      <w:pPr>
        <w:tabs>
          <w:tab w:val="left" w:pos="2293"/>
        </w:tabs>
        <w:ind w:left="2293" w:hanging="420"/>
      </w:pPr>
      <w:rPr>
        <w:rFonts w:hint="default" w:ascii="Wingdings" w:hAnsi="Wingdings"/>
      </w:rPr>
    </w:lvl>
    <w:lvl w:ilvl="5" w:tentative="0">
      <w:start w:val="1"/>
      <w:numFmt w:val="bullet"/>
      <w:lvlText w:val=""/>
      <w:lvlJc w:val="left"/>
      <w:pPr>
        <w:tabs>
          <w:tab w:val="left" w:pos="2713"/>
        </w:tabs>
        <w:ind w:left="2713" w:hanging="420"/>
      </w:pPr>
      <w:rPr>
        <w:rFonts w:hint="default" w:ascii="Wingdings" w:hAnsi="Wingdings"/>
      </w:rPr>
    </w:lvl>
    <w:lvl w:ilvl="6" w:tentative="0">
      <w:start w:val="1"/>
      <w:numFmt w:val="bullet"/>
      <w:lvlText w:val=""/>
      <w:lvlJc w:val="left"/>
      <w:pPr>
        <w:tabs>
          <w:tab w:val="left" w:pos="3133"/>
        </w:tabs>
        <w:ind w:left="3133" w:hanging="420"/>
      </w:pPr>
      <w:rPr>
        <w:rFonts w:hint="default" w:ascii="Wingdings" w:hAnsi="Wingdings"/>
      </w:rPr>
    </w:lvl>
    <w:lvl w:ilvl="7" w:tentative="0">
      <w:start w:val="1"/>
      <w:numFmt w:val="bullet"/>
      <w:lvlText w:val=""/>
      <w:lvlJc w:val="left"/>
      <w:pPr>
        <w:tabs>
          <w:tab w:val="left" w:pos="3553"/>
        </w:tabs>
        <w:ind w:left="3553" w:hanging="420"/>
      </w:pPr>
      <w:rPr>
        <w:rFonts w:hint="default" w:ascii="Wingdings" w:hAnsi="Wingdings"/>
      </w:rPr>
    </w:lvl>
    <w:lvl w:ilvl="8" w:tentative="0">
      <w:start w:val="1"/>
      <w:numFmt w:val="bullet"/>
      <w:lvlText w:val=""/>
      <w:lvlJc w:val="left"/>
      <w:pPr>
        <w:tabs>
          <w:tab w:val="left" w:pos="3973"/>
        </w:tabs>
        <w:ind w:left="3973" w:hanging="420"/>
      </w:pPr>
      <w:rPr>
        <w:rFonts w:hint="default" w:ascii="Wingdings" w:hAnsi="Wingdings"/>
      </w:rPr>
    </w:lvl>
  </w:abstractNum>
  <w:abstractNum w:abstractNumId="26">
    <w:nsid w:val="1AF61391"/>
    <w:multiLevelType w:val="multilevel"/>
    <w:tmpl w:val="1AF61391"/>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1DA619B"/>
    <w:multiLevelType w:val="multilevel"/>
    <w:tmpl w:val="21DA619B"/>
    <w:lvl w:ilvl="0" w:tentative="0">
      <w:start w:val="1"/>
      <w:numFmt w:val="decimal"/>
      <w:lvlText w:val="%1."/>
      <w:lvlJc w:val="left"/>
      <w:pPr>
        <w:tabs>
          <w:tab w:val="left" w:pos="360"/>
        </w:tabs>
        <w:ind w:left="360" w:hanging="360"/>
      </w:pPr>
      <w:rPr>
        <w:rFonts w:hint="eastAsia"/>
      </w:rPr>
    </w:lvl>
    <w:lvl w:ilvl="1" w:tentative="0">
      <w:start w:val="2"/>
      <w:numFmt w:val="decimal"/>
      <w:pStyle w:val="194"/>
      <w:lvlText w:val="%2．"/>
      <w:lvlJc w:val="left"/>
      <w:pPr>
        <w:tabs>
          <w:tab w:val="left" w:pos="780"/>
        </w:tabs>
        <w:ind w:left="780" w:hanging="360"/>
      </w:pPr>
      <w:rPr>
        <w:rFonts w:hint="eastAsia" w:eastAsia="仿宋体"/>
      </w:rPr>
    </w:lvl>
    <w:lvl w:ilvl="2" w:tentative="0">
      <w:start w:val="4"/>
      <w:numFmt w:val="japaneseCounting"/>
      <w:lvlText w:val="%3、"/>
      <w:lvlJc w:val="left"/>
      <w:pPr>
        <w:tabs>
          <w:tab w:val="left" w:pos="1560"/>
        </w:tabs>
        <w:ind w:left="1560" w:hanging="720"/>
      </w:pPr>
      <w:rPr>
        <w:rFonts w:hint="eastAsia" w:hAnsi="宋体"/>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1F23FB4"/>
    <w:multiLevelType w:val="multilevel"/>
    <w:tmpl w:val="31F23FB4"/>
    <w:lvl w:ilvl="0" w:tentative="0">
      <w:start w:val="1"/>
      <w:numFmt w:val="decimal"/>
      <w:lvlText w:val="%1."/>
      <w:lvlJc w:val="left"/>
      <w:pPr>
        <w:tabs>
          <w:tab w:val="left" w:pos="851"/>
        </w:tabs>
        <w:ind w:left="851" w:hanging="851"/>
      </w:pPr>
      <w:rPr>
        <w:rFonts w:hint="default" w:ascii="Times New Roman" w:hAnsi="Times New Roman" w:eastAsia="宋体" w:cs="Times New Roman"/>
        <w:b/>
        <w:i w:val="0"/>
        <w:sz w:val="24"/>
      </w:rPr>
    </w:lvl>
    <w:lvl w:ilvl="1" w:tentative="0">
      <w:start w:val="1"/>
      <w:numFmt w:val="decimal"/>
      <w:lvlText w:val="(%2)"/>
      <w:lvlJc w:val="left"/>
      <w:pPr>
        <w:tabs>
          <w:tab w:val="left" w:pos="644"/>
        </w:tabs>
        <w:ind w:left="644" w:hanging="360"/>
      </w:pPr>
      <w:rPr>
        <w:rFonts w:hint="default" w:ascii="Times New Roman" w:hAnsi="Times New Roman" w:eastAsia="宋体" w:cs="Times New Roman"/>
        <w:b w:val="0"/>
        <w:i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9">
    <w:nsid w:val="38236540"/>
    <w:multiLevelType w:val="multilevel"/>
    <w:tmpl w:val="38236540"/>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b/>
      </w:rPr>
    </w:lvl>
    <w:lvl w:ilvl="2" w:tentative="0">
      <w:start w:val="1"/>
      <w:numFmt w:val="japaneseCounting"/>
      <w:lvlText w:val="第%3章"/>
      <w:lvlJc w:val="left"/>
      <w:pPr>
        <w:tabs>
          <w:tab w:val="left" w:pos="1920"/>
        </w:tabs>
        <w:ind w:left="1920" w:hanging="1080"/>
      </w:pPr>
      <w:rPr>
        <w:rFonts w:hint="default" w:ascii="Arial" w:cs="Times New Roman"/>
        <w:color w:val="auto"/>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040"/>
        </w:tabs>
        <w:ind w:left="2040" w:hanging="360"/>
      </w:pPr>
      <w:rPr>
        <w:rFonts w:hint="default"/>
        <w:b/>
      </w:rPr>
    </w:lvl>
    <w:lvl w:ilvl="5" w:tentative="0">
      <w:start w:val="1"/>
      <w:numFmt w:val="decimal"/>
      <w:lvlText w:val="（%6）"/>
      <w:lvlJc w:val="left"/>
      <w:pPr>
        <w:tabs>
          <w:tab w:val="left" w:pos="2820"/>
        </w:tabs>
        <w:ind w:left="2820" w:hanging="720"/>
      </w:pPr>
      <w:rPr>
        <w:rFonts w:hint="default"/>
      </w:rPr>
    </w:lvl>
    <w:lvl w:ilvl="6" w:tentative="0">
      <w:start w:val="1"/>
      <w:numFmt w:val="decimal"/>
      <w:lvlText w:val="%7、"/>
      <w:lvlJc w:val="left"/>
      <w:pPr>
        <w:tabs>
          <w:tab w:val="left" w:pos="420"/>
        </w:tabs>
        <w:ind w:left="420" w:hanging="420"/>
      </w:pPr>
      <w:rPr>
        <w:rFonts w:hint="default"/>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20"/>
        </w:tabs>
        <w:ind w:left="3720" w:hanging="360"/>
      </w:pPr>
      <w:rPr>
        <w:rFonts w:hint="eastAsia" w:ascii="宋体" w:hAnsi="宋体" w:eastAsia="宋体" w:cs="Times New Roman"/>
        <w:color w:val="FF0000"/>
      </w:rPr>
    </w:lvl>
  </w:abstractNum>
  <w:abstractNum w:abstractNumId="30">
    <w:nsid w:val="3C5423C6"/>
    <w:multiLevelType w:val="singleLevel"/>
    <w:tmpl w:val="3C5423C6"/>
    <w:lvl w:ilvl="0" w:tentative="0">
      <w:start w:val="1"/>
      <w:numFmt w:val="decimal"/>
      <w:pStyle w:val="77"/>
      <w:lvlText w:val="%1、"/>
      <w:lvlJc w:val="left"/>
      <w:pPr>
        <w:tabs>
          <w:tab w:val="left" w:pos="948"/>
        </w:tabs>
        <w:ind w:left="948" w:hanging="360"/>
      </w:pPr>
      <w:rPr>
        <w:rFonts w:hint="eastAsia"/>
      </w:rPr>
    </w:lvl>
  </w:abstractNum>
  <w:abstractNum w:abstractNumId="31">
    <w:nsid w:val="3CFE1F70"/>
    <w:multiLevelType w:val="multilevel"/>
    <w:tmpl w:val="3CFE1F70"/>
    <w:lvl w:ilvl="0" w:tentative="0">
      <w:start w:val="1"/>
      <w:numFmt w:val="ideographDigital"/>
      <w:pStyle w:val="143"/>
      <w:lvlText w:val="第%1章"/>
      <w:lvlJc w:val="left"/>
      <w:pPr>
        <w:tabs>
          <w:tab w:val="left" w:pos="845"/>
        </w:tabs>
        <w:ind w:left="845" w:hanging="425"/>
      </w:pPr>
      <w:rPr>
        <w:rFonts w:hint="eastAsia"/>
      </w:rPr>
    </w:lvl>
    <w:lvl w:ilvl="1" w:tentative="0">
      <w:start w:val="1"/>
      <w:numFmt w:val="decimal"/>
      <w:lvlText w:val="%1.%2"/>
      <w:lvlJc w:val="left"/>
      <w:pPr>
        <w:tabs>
          <w:tab w:val="left" w:pos="1412"/>
        </w:tabs>
        <w:ind w:left="1412" w:hanging="567"/>
      </w:pPr>
      <w:rPr>
        <w:rFonts w:hint="eastAsia"/>
      </w:rPr>
    </w:lvl>
    <w:lvl w:ilvl="2" w:tentative="0">
      <w:start w:val="1"/>
      <w:numFmt w:val="decimal"/>
      <w:pStyle w:val="119"/>
      <w:isLgl/>
      <w:lvlText w:val="%1.%2.%3"/>
      <w:lvlJc w:val="left"/>
      <w:pPr>
        <w:tabs>
          <w:tab w:val="left" w:pos="2351"/>
        </w:tabs>
        <w:ind w:left="1838" w:hanging="567"/>
      </w:pPr>
      <w:rPr>
        <w:rFonts w:hint="eastAsia"/>
      </w:rPr>
    </w:lvl>
    <w:lvl w:ilvl="3" w:tentative="0">
      <w:start w:val="1"/>
      <w:numFmt w:val="decimal"/>
      <w:lvlText w:val="%1.%2.%3.%4"/>
      <w:lvlJc w:val="left"/>
      <w:pPr>
        <w:tabs>
          <w:tab w:val="left" w:pos="3136"/>
        </w:tabs>
        <w:ind w:left="2404" w:hanging="708"/>
      </w:pPr>
      <w:rPr>
        <w:rFonts w:hint="eastAsia"/>
      </w:rPr>
    </w:lvl>
    <w:lvl w:ilvl="4" w:tentative="0">
      <w:start w:val="1"/>
      <w:numFmt w:val="decimal"/>
      <w:isLgl/>
      <w:lvlText w:val="%1.%2.%3.%4.%5"/>
      <w:lvlJc w:val="left"/>
      <w:pPr>
        <w:tabs>
          <w:tab w:val="left" w:pos="3921"/>
        </w:tabs>
        <w:ind w:left="2971" w:hanging="850"/>
      </w:pPr>
      <w:rPr>
        <w:rFonts w:hint="eastAsia"/>
      </w:rPr>
    </w:lvl>
    <w:lvl w:ilvl="5" w:tentative="0">
      <w:start w:val="1"/>
      <w:numFmt w:val="decimal"/>
      <w:lvlText w:val="%1.%2.%3.%4.%5.%6"/>
      <w:lvlJc w:val="left"/>
      <w:pPr>
        <w:tabs>
          <w:tab w:val="left" w:pos="3680"/>
        </w:tabs>
        <w:ind w:left="3680" w:hanging="1134"/>
      </w:pPr>
      <w:rPr>
        <w:rFonts w:hint="eastAsia"/>
      </w:rPr>
    </w:lvl>
    <w:lvl w:ilvl="6" w:tentative="0">
      <w:start w:val="1"/>
      <w:numFmt w:val="decimal"/>
      <w:lvlText w:val="%1.%2.%3.%4.%5.%6.%7"/>
      <w:lvlJc w:val="left"/>
      <w:pPr>
        <w:tabs>
          <w:tab w:val="left" w:pos="4247"/>
        </w:tabs>
        <w:ind w:left="4247" w:hanging="1276"/>
      </w:pPr>
      <w:rPr>
        <w:rFonts w:hint="eastAsia"/>
      </w:rPr>
    </w:lvl>
    <w:lvl w:ilvl="7" w:tentative="0">
      <w:start w:val="1"/>
      <w:numFmt w:val="decimal"/>
      <w:lvlText w:val="%1.%2.%3.%4.%5.%6.%7.%8"/>
      <w:lvlJc w:val="left"/>
      <w:pPr>
        <w:tabs>
          <w:tab w:val="left" w:pos="4814"/>
        </w:tabs>
        <w:ind w:left="4814" w:hanging="1418"/>
      </w:pPr>
      <w:rPr>
        <w:rFonts w:hint="eastAsia"/>
      </w:rPr>
    </w:lvl>
    <w:lvl w:ilvl="8" w:tentative="0">
      <w:start w:val="1"/>
      <w:numFmt w:val="decimal"/>
      <w:lvlText w:val="%1.%2.%3.%4.%5.%6.%7.%8.%9"/>
      <w:lvlJc w:val="left"/>
      <w:pPr>
        <w:tabs>
          <w:tab w:val="left" w:pos="5522"/>
        </w:tabs>
        <w:ind w:left="5522" w:hanging="1700"/>
      </w:pPr>
      <w:rPr>
        <w:rFonts w:hint="eastAsia"/>
      </w:rPr>
    </w:lvl>
  </w:abstractNum>
  <w:abstractNum w:abstractNumId="32">
    <w:nsid w:val="4A531658"/>
    <w:multiLevelType w:val="multilevel"/>
    <w:tmpl w:val="4A531658"/>
    <w:lvl w:ilvl="0" w:tentative="0">
      <w:start w:val="1"/>
      <w:numFmt w:val="lowerLetter"/>
      <w:lvlText w:val="%1)"/>
      <w:lvlJc w:val="left"/>
      <w:pPr>
        <w:tabs>
          <w:tab w:val="left" w:pos="1141"/>
        </w:tabs>
        <w:ind w:left="1141" w:hanging="420"/>
      </w:pPr>
      <w:rPr>
        <w:rFonts w:hint="default" w:ascii="Times New Roman" w:hAnsi="Times New Roman" w:eastAsia="宋体" w:cs="Times New Roman"/>
        <w:sz w:val="21"/>
        <w:szCs w:val="21"/>
      </w:rPr>
    </w:lvl>
    <w:lvl w:ilvl="1" w:tentative="0">
      <w:start w:val="1"/>
      <w:numFmt w:val="decimal"/>
      <w:lvlText w:val="（%2）"/>
      <w:lvlJc w:val="left"/>
      <w:pPr>
        <w:tabs>
          <w:tab w:val="left" w:pos="1861"/>
        </w:tabs>
        <w:ind w:left="1861" w:hanging="720"/>
      </w:pPr>
      <w:rPr>
        <w:rFonts w:hint="default" w:ascii="Times New Roman" w:hAnsi="Times New Roman" w:cs="Times New Roman"/>
      </w:rPr>
    </w:lvl>
    <w:lvl w:ilvl="2" w:tentative="0">
      <w:start w:val="1"/>
      <w:numFmt w:val="decimal"/>
      <w:lvlText w:val="%3、"/>
      <w:lvlJc w:val="left"/>
      <w:pPr>
        <w:tabs>
          <w:tab w:val="left" w:pos="1921"/>
        </w:tabs>
        <w:ind w:left="1921" w:hanging="360"/>
      </w:pPr>
      <w:rPr>
        <w:rFonts w:hint="default"/>
        <w:sz w:val="21"/>
        <w:szCs w:val="21"/>
      </w:rPr>
    </w:lvl>
    <w:lvl w:ilvl="3" w:tentative="0">
      <w:start w:val="1"/>
      <w:numFmt w:val="bullet"/>
      <w:lvlText w:val=""/>
      <w:lvlJc w:val="left"/>
      <w:pPr>
        <w:tabs>
          <w:tab w:val="left" w:pos="2401"/>
        </w:tabs>
        <w:ind w:left="2401" w:hanging="420"/>
      </w:pPr>
      <w:rPr>
        <w:rFonts w:hint="default" w:ascii="Wingdings" w:hAnsi="Wingdings"/>
        <w:sz w:val="21"/>
        <w:szCs w:val="21"/>
      </w:rPr>
    </w:lvl>
    <w:lvl w:ilvl="4" w:tentative="0">
      <w:start w:val="1"/>
      <w:numFmt w:val="lowerLetter"/>
      <w:lvlText w:val="%5)"/>
      <w:lvlJc w:val="left"/>
      <w:pPr>
        <w:tabs>
          <w:tab w:val="left" w:pos="2821"/>
        </w:tabs>
        <w:ind w:left="2821" w:hanging="420"/>
      </w:pPr>
    </w:lvl>
    <w:lvl w:ilvl="5" w:tentative="0">
      <w:start w:val="1"/>
      <w:numFmt w:val="lowerRoman"/>
      <w:lvlText w:val="%6."/>
      <w:lvlJc w:val="right"/>
      <w:pPr>
        <w:tabs>
          <w:tab w:val="left" w:pos="3241"/>
        </w:tabs>
        <w:ind w:left="3241" w:hanging="420"/>
      </w:pPr>
    </w:lvl>
    <w:lvl w:ilvl="6" w:tentative="0">
      <w:start w:val="1"/>
      <w:numFmt w:val="decimal"/>
      <w:lvlText w:val="%7."/>
      <w:lvlJc w:val="left"/>
      <w:pPr>
        <w:tabs>
          <w:tab w:val="left" w:pos="3661"/>
        </w:tabs>
        <w:ind w:left="3661" w:hanging="420"/>
      </w:pPr>
    </w:lvl>
    <w:lvl w:ilvl="7" w:tentative="0">
      <w:start w:val="1"/>
      <w:numFmt w:val="lowerLetter"/>
      <w:lvlText w:val="%8)"/>
      <w:lvlJc w:val="left"/>
      <w:pPr>
        <w:tabs>
          <w:tab w:val="left" w:pos="4081"/>
        </w:tabs>
        <w:ind w:left="4081" w:hanging="420"/>
      </w:pPr>
    </w:lvl>
    <w:lvl w:ilvl="8" w:tentative="0">
      <w:start w:val="1"/>
      <w:numFmt w:val="lowerRoman"/>
      <w:lvlText w:val="%9."/>
      <w:lvlJc w:val="right"/>
      <w:pPr>
        <w:tabs>
          <w:tab w:val="left" w:pos="4501"/>
        </w:tabs>
        <w:ind w:left="4501" w:hanging="420"/>
      </w:pPr>
    </w:lvl>
  </w:abstractNum>
  <w:abstractNum w:abstractNumId="33">
    <w:nsid w:val="4A8B0558"/>
    <w:multiLevelType w:val="multilevel"/>
    <w:tmpl w:val="4A8B0558"/>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A41EF1F"/>
    <w:multiLevelType w:val="singleLevel"/>
    <w:tmpl w:val="5A41EF1F"/>
    <w:lvl w:ilvl="0" w:tentative="0">
      <w:start w:val="1"/>
      <w:numFmt w:val="decimal"/>
      <w:suff w:val="space"/>
      <w:lvlText w:val="%1."/>
      <w:lvlJc w:val="left"/>
    </w:lvl>
  </w:abstractNum>
  <w:abstractNum w:abstractNumId="35">
    <w:nsid w:val="5A420D0A"/>
    <w:multiLevelType w:val="singleLevel"/>
    <w:tmpl w:val="5A420D0A"/>
    <w:lvl w:ilvl="0" w:tentative="0">
      <w:start w:val="1"/>
      <w:numFmt w:val="decimal"/>
      <w:suff w:val="nothing"/>
      <w:lvlText w:val="%1、"/>
      <w:lvlJc w:val="left"/>
    </w:lvl>
  </w:abstractNum>
  <w:abstractNum w:abstractNumId="36">
    <w:nsid w:val="5FAC1641"/>
    <w:multiLevelType w:val="multilevel"/>
    <w:tmpl w:val="5FAC164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6232511"/>
    <w:multiLevelType w:val="multilevel"/>
    <w:tmpl w:val="66232511"/>
    <w:lvl w:ilvl="0" w:tentative="0">
      <w:start w:val="1"/>
      <w:numFmt w:val="decimal"/>
      <w:pStyle w:val="97"/>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A6C0268"/>
    <w:multiLevelType w:val="multilevel"/>
    <w:tmpl w:val="6A6C0268"/>
    <w:lvl w:ilvl="0" w:tentative="0">
      <w:start w:val="1"/>
      <w:numFmt w:val="none"/>
      <w:suff w:val="space"/>
      <w:lvlText w:val=""/>
      <w:lvlJc w:val="left"/>
      <w:pPr>
        <w:ind w:left="964" w:hanging="397"/>
      </w:pPr>
      <w:rPr>
        <w:rFonts w:hint="default"/>
      </w:rPr>
    </w:lvl>
    <w:lvl w:ilvl="1" w:tentative="0">
      <w:start w:val="1"/>
      <w:numFmt w:val="decimal"/>
      <w:isLgl/>
      <w:suff w:val="space"/>
      <w:lvlText w:val="&lt;%2&gt;"/>
      <w:lvlJc w:val="left"/>
      <w:pPr>
        <w:ind w:left="964" w:hanging="397"/>
      </w:pPr>
      <w:rPr>
        <w:rFonts w:hint="eastAsia"/>
      </w:rPr>
    </w:lvl>
    <w:lvl w:ilvl="2" w:tentative="0">
      <w:start w:val="1"/>
      <w:numFmt w:val="bullet"/>
      <w:suff w:val="space"/>
      <w:lvlText w:val=""/>
      <w:lvlJc w:val="left"/>
      <w:pPr>
        <w:ind w:left="851" w:hanging="426"/>
      </w:pPr>
      <w:rPr>
        <w:rFonts w:hint="default" w:ascii="Wingdings" w:hAnsi="Wingdings"/>
      </w:rPr>
    </w:lvl>
    <w:lvl w:ilvl="3" w:tentative="0">
      <w:start w:val="1"/>
      <w:numFmt w:val="bullet"/>
      <w:suff w:val="space"/>
      <w:lvlText w:val=""/>
      <w:lvlJc w:val="left"/>
      <w:pPr>
        <w:ind w:left="851" w:hanging="426"/>
      </w:pPr>
      <w:rPr>
        <w:rFonts w:hint="default" w:ascii="Wingdings" w:hAnsi="Wingdings"/>
      </w:rPr>
    </w:lvl>
    <w:lvl w:ilvl="4" w:tentative="0">
      <w:start w:val="1"/>
      <w:numFmt w:val="bullet"/>
      <w:pStyle w:val="172"/>
      <w:suff w:val="space"/>
      <w:lvlText w:val=""/>
      <w:lvlJc w:val="left"/>
      <w:pPr>
        <w:ind w:left="737" w:hanging="312"/>
      </w:pPr>
      <w:rPr>
        <w:rFonts w:hint="default" w:ascii="Wingdings" w:hAnsi="Wingdings"/>
        <w:color w:val="auto"/>
        <w:sz w:val="15"/>
      </w:rPr>
    </w:lvl>
    <w:lvl w:ilvl="5" w:tentative="0">
      <w:start w:val="1"/>
      <w:numFmt w:val="none"/>
      <w:suff w:val="nothing"/>
      <w:lvlText w:val=""/>
      <w:lvlJc w:val="left"/>
      <w:pPr>
        <w:ind w:left="2410" w:hanging="426"/>
      </w:pPr>
      <w:rPr>
        <w:rFonts w:hint="eastAsia"/>
      </w:rPr>
    </w:lvl>
    <w:lvl w:ilvl="6" w:tentative="0">
      <w:start w:val="1"/>
      <w:numFmt w:val="none"/>
      <w:lvlText w:val=""/>
      <w:lvlJc w:val="left"/>
      <w:pPr>
        <w:tabs>
          <w:tab w:val="left" w:pos="2835"/>
        </w:tabs>
        <w:ind w:left="2835" w:hanging="426"/>
      </w:pPr>
      <w:rPr>
        <w:rFonts w:hint="eastAsia"/>
      </w:rPr>
    </w:lvl>
    <w:lvl w:ilvl="7" w:tentative="0">
      <w:start w:val="1"/>
      <w:numFmt w:val="none"/>
      <w:lvlText w:val=""/>
      <w:lvlJc w:val="left"/>
      <w:pPr>
        <w:tabs>
          <w:tab w:val="left" w:pos="3260"/>
        </w:tabs>
        <w:ind w:left="3260" w:hanging="425"/>
      </w:pPr>
      <w:rPr>
        <w:rFonts w:hint="eastAsia"/>
      </w:rPr>
    </w:lvl>
    <w:lvl w:ilvl="8" w:tentative="0">
      <w:start w:val="1"/>
      <w:numFmt w:val="none"/>
      <w:lvlText w:val=""/>
      <w:lvlJc w:val="left"/>
      <w:pPr>
        <w:tabs>
          <w:tab w:val="left" w:pos="360"/>
        </w:tabs>
        <w:ind w:left="0" w:firstLine="0"/>
      </w:pPr>
      <w:rPr>
        <w:rFonts w:hint="eastAsia"/>
      </w:rPr>
    </w:lvl>
  </w:abstractNum>
  <w:abstractNum w:abstractNumId="39">
    <w:nsid w:val="6CC22FD7"/>
    <w:multiLevelType w:val="multilevel"/>
    <w:tmpl w:val="6CC22FD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0"/>
  </w:num>
  <w:num w:numId="2">
    <w:abstractNumId w:val="30"/>
  </w:num>
  <w:num w:numId="3">
    <w:abstractNumId w:val="37"/>
  </w:num>
  <w:num w:numId="4">
    <w:abstractNumId w:val="2"/>
  </w:num>
  <w:num w:numId="5">
    <w:abstractNumId w:val="31"/>
  </w:num>
  <w:num w:numId="6">
    <w:abstractNumId w:val="38"/>
  </w:num>
  <w:num w:numId="7">
    <w:abstractNumId w:val="27"/>
  </w:num>
  <w:num w:numId="8">
    <w:abstractNumId w:val="25"/>
  </w:num>
  <w:num w:numId="9">
    <w:abstractNumId w:val="17"/>
  </w:num>
  <w:num w:numId="10">
    <w:abstractNumId w:val="16"/>
  </w:num>
  <w:num w:numId="11">
    <w:abstractNumId w:val="24"/>
  </w:num>
  <w:num w:numId="12">
    <w:abstractNumId w:val="21"/>
  </w:num>
  <w:num w:numId="13">
    <w:abstractNumId w:val="36"/>
  </w:num>
  <w:num w:numId="14">
    <w:abstractNumId w:val="1"/>
  </w:num>
  <w:num w:numId="15">
    <w:abstractNumId w:val="23"/>
  </w:num>
  <w:num w:numId="16">
    <w:abstractNumId w:val="28"/>
  </w:num>
  <w:num w:numId="17">
    <w:abstractNumId w:val="28"/>
    <w:lvlOverride w:ilvl="1">
      <w:startOverride w:val="1"/>
    </w:lvlOverride>
  </w:num>
  <w:num w:numId="18">
    <w:abstractNumId w:val="6"/>
  </w:num>
  <w:num w:numId="19">
    <w:abstractNumId w:val="4"/>
  </w:num>
  <w:num w:numId="20">
    <w:abstractNumId w:val="7"/>
  </w:num>
  <w:num w:numId="21">
    <w:abstractNumId w:val="32"/>
  </w:num>
  <w:num w:numId="22">
    <w:abstractNumId w:val="3"/>
  </w:num>
  <w:num w:numId="23">
    <w:abstractNumId w:val="22"/>
  </w:num>
  <w:num w:numId="24">
    <w:abstractNumId w:val="33"/>
  </w:num>
  <w:num w:numId="25">
    <w:abstractNumId w:val="29"/>
  </w:num>
  <w:num w:numId="26">
    <w:abstractNumId w:val="26"/>
  </w:num>
  <w:num w:numId="27">
    <w:abstractNumId w:val="0"/>
  </w:num>
  <w:num w:numId="28">
    <w:abstractNumId w:val="5"/>
  </w:num>
  <w:num w:numId="29">
    <w:abstractNumId w:val="18"/>
  </w:num>
  <w:num w:numId="30">
    <w:abstractNumId w:val="14"/>
  </w:num>
  <w:num w:numId="31">
    <w:abstractNumId w:val="13"/>
  </w:num>
  <w:num w:numId="32">
    <w:abstractNumId w:val="9"/>
  </w:num>
  <w:num w:numId="33">
    <w:abstractNumId w:val="19"/>
  </w:num>
  <w:num w:numId="34">
    <w:abstractNumId w:val="8"/>
  </w:num>
  <w:num w:numId="35">
    <w:abstractNumId w:val="15"/>
  </w:num>
  <w:num w:numId="36">
    <w:abstractNumId w:val="11"/>
  </w:num>
  <w:num w:numId="37">
    <w:abstractNumId w:val="34"/>
  </w:num>
  <w:num w:numId="38">
    <w:abstractNumId w:val="12"/>
  </w:num>
  <w:num w:numId="39">
    <w:abstractNumId w:val="10"/>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720"/>
  <w:drawingGridHorizontalSpacing w:val="106"/>
  <w:drawingGridVerticalSpacing w:val="143"/>
  <w:displayHorizontalDrawingGridEvery w:val="1"/>
  <w:displayVerticalDrawingGridEvery w:val="1"/>
  <w:noPunctuationKerning w:val="1"/>
  <w:characterSpacingControl w:val="doNotCompress"/>
  <w:hdrShapeDefaults>
    <o:shapelayout v:ext="edit">
      <o:idmap v:ext="edit" data="2"/>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27D05"/>
    <w:rsid w:val="000000D3"/>
    <w:rsid w:val="000004FC"/>
    <w:rsid w:val="0000052B"/>
    <w:rsid w:val="00000EF5"/>
    <w:rsid w:val="00001083"/>
    <w:rsid w:val="00001F06"/>
    <w:rsid w:val="0000338E"/>
    <w:rsid w:val="000037DA"/>
    <w:rsid w:val="0000427C"/>
    <w:rsid w:val="00004376"/>
    <w:rsid w:val="00004414"/>
    <w:rsid w:val="000046CC"/>
    <w:rsid w:val="0000531E"/>
    <w:rsid w:val="00006DE7"/>
    <w:rsid w:val="00007E98"/>
    <w:rsid w:val="00010988"/>
    <w:rsid w:val="00010DBB"/>
    <w:rsid w:val="00011A6E"/>
    <w:rsid w:val="000128E0"/>
    <w:rsid w:val="00012914"/>
    <w:rsid w:val="00013205"/>
    <w:rsid w:val="000139E5"/>
    <w:rsid w:val="00013BE1"/>
    <w:rsid w:val="0001453E"/>
    <w:rsid w:val="0001545E"/>
    <w:rsid w:val="00015492"/>
    <w:rsid w:val="0001561C"/>
    <w:rsid w:val="00016149"/>
    <w:rsid w:val="000167BF"/>
    <w:rsid w:val="00017CB9"/>
    <w:rsid w:val="00020B89"/>
    <w:rsid w:val="00021594"/>
    <w:rsid w:val="000215E8"/>
    <w:rsid w:val="00021E4C"/>
    <w:rsid w:val="00022116"/>
    <w:rsid w:val="00022883"/>
    <w:rsid w:val="000228FB"/>
    <w:rsid w:val="00022E4E"/>
    <w:rsid w:val="00022EFA"/>
    <w:rsid w:val="00024436"/>
    <w:rsid w:val="00025095"/>
    <w:rsid w:val="00025503"/>
    <w:rsid w:val="00025731"/>
    <w:rsid w:val="00025C18"/>
    <w:rsid w:val="00025D02"/>
    <w:rsid w:val="00025D73"/>
    <w:rsid w:val="00025E5C"/>
    <w:rsid w:val="00026B01"/>
    <w:rsid w:val="00027183"/>
    <w:rsid w:val="0002721F"/>
    <w:rsid w:val="00027307"/>
    <w:rsid w:val="000277D8"/>
    <w:rsid w:val="00030E50"/>
    <w:rsid w:val="00031874"/>
    <w:rsid w:val="0003189B"/>
    <w:rsid w:val="00031BBC"/>
    <w:rsid w:val="00031C2C"/>
    <w:rsid w:val="00031D8E"/>
    <w:rsid w:val="00031FCE"/>
    <w:rsid w:val="0003256B"/>
    <w:rsid w:val="000330B9"/>
    <w:rsid w:val="0003449F"/>
    <w:rsid w:val="0003523F"/>
    <w:rsid w:val="0003577F"/>
    <w:rsid w:val="00035E0E"/>
    <w:rsid w:val="00036592"/>
    <w:rsid w:val="00036603"/>
    <w:rsid w:val="00036B0F"/>
    <w:rsid w:val="00037094"/>
    <w:rsid w:val="00037474"/>
    <w:rsid w:val="00037533"/>
    <w:rsid w:val="0003775B"/>
    <w:rsid w:val="00040817"/>
    <w:rsid w:val="00040A26"/>
    <w:rsid w:val="000414AA"/>
    <w:rsid w:val="00042505"/>
    <w:rsid w:val="00043DE7"/>
    <w:rsid w:val="000442FD"/>
    <w:rsid w:val="0004475D"/>
    <w:rsid w:val="00044A4B"/>
    <w:rsid w:val="00045138"/>
    <w:rsid w:val="0004571A"/>
    <w:rsid w:val="00046B99"/>
    <w:rsid w:val="00046EF1"/>
    <w:rsid w:val="000474CA"/>
    <w:rsid w:val="000476AA"/>
    <w:rsid w:val="00047C7F"/>
    <w:rsid w:val="0005036D"/>
    <w:rsid w:val="00050454"/>
    <w:rsid w:val="00050761"/>
    <w:rsid w:val="0005113E"/>
    <w:rsid w:val="00051B80"/>
    <w:rsid w:val="0005270B"/>
    <w:rsid w:val="0005371D"/>
    <w:rsid w:val="0005382C"/>
    <w:rsid w:val="000538CA"/>
    <w:rsid w:val="00053CCA"/>
    <w:rsid w:val="000546CC"/>
    <w:rsid w:val="00055E30"/>
    <w:rsid w:val="00055FC3"/>
    <w:rsid w:val="00056E77"/>
    <w:rsid w:val="00056F81"/>
    <w:rsid w:val="000575D2"/>
    <w:rsid w:val="000578EA"/>
    <w:rsid w:val="00057C62"/>
    <w:rsid w:val="0006119B"/>
    <w:rsid w:val="00061A47"/>
    <w:rsid w:val="000629CB"/>
    <w:rsid w:val="00063057"/>
    <w:rsid w:val="000640A6"/>
    <w:rsid w:val="00064304"/>
    <w:rsid w:val="00064441"/>
    <w:rsid w:val="0006468D"/>
    <w:rsid w:val="0006470A"/>
    <w:rsid w:val="00064B6C"/>
    <w:rsid w:val="00065249"/>
    <w:rsid w:val="00065F18"/>
    <w:rsid w:val="0006600F"/>
    <w:rsid w:val="0006635B"/>
    <w:rsid w:val="00066D6C"/>
    <w:rsid w:val="00067279"/>
    <w:rsid w:val="000676D3"/>
    <w:rsid w:val="0007010C"/>
    <w:rsid w:val="00070ADD"/>
    <w:rsid w:val="00071408"/>
    <w:rsid w:val="000715EA"/>
    <w:rsid w:val="000729BF"/>
    <w:rsid w:val="00072B49"/>
    <w:rsid w:val="00072F26"/>
    <w:rsid w:val="0007300C"/>
    <w:rsid w:val="00073B33"/>
    <w:rsid w:val="00073C2B"/>
    <w:rsid w:val="0007449C"/>
    <w:rsid w:val="000745B0"/>
    <w:rsid w:val="00074D5B"/>
    <w:rsid w:val="00074ECE"/>
    <w:rsid w:val="000752E7"/>
    <w:rsid w:val="000754AB"/>
    <w:rsid w:val="000754EF"/>
    <w:rsid w:val="0007573B"/>
    <w:rsid w:val="000757E8"/>
    <w:rsid w:val="00075F8C"/>
    <w:rsid w:val="00076527"/>
    <w:rsid w:val="0007767E"/>
    <w:rsid w:val="000777C9"/>
    <w:rsid w:val="00077BA3"/>
    <w:rsid w:val="00080940"/>
    <w:rsid w:val="00080B04"/>
    <w:rsid w:val="00080E64"/>
    <w:rsid w:val="00081C64"/>
    <w:rsid w:val="00081ED9"/>
    <w:rsid w:val="00082DBA"/>
    <w:rsid w:val="00082E84"/>
    <w:rsid w:val="00082F71"/>
    <w:rsid w:val="000835FF"/>
    <w:rsid w:val="000839E0"/>
    <w:rsid w:val="00083C78"/>
    <w:rsid w:val="00083D1E"/>
    <w:rsid w:val="00084521"/>
    <w:rsid w:val="000852F1"/>
    <w:rsid w:val="00085D64"/>
    <w:rsid w:val="00086AB6"/>
    <w:rsid w:val="00086AE9"/>
    <w:rsid w:val="00086C30"/>
    <w:rsid w:val="00087687"/>
    <w:rsid w:val="00087B5F"/>
    <w:rsid w:val="00090265"/>
    <w:rsid w:val="000906BA"/>
    <w:rsid w:val="000907EA"/>
    <w:rsid w:val="000909DA"/>
    <w:rsid w:val="00090CD0"/>
    <w:rsid w:val="0009164C"/>
    <w:rsid w:val="00091674"/>
    <w:rsid w:val="00091794"/>
    <w:rsid w:val="00091CA9"/>
    <w:rsid w:val="00091CE8"/>
    <w:rsid w:val="000924A2"/>
    <w:rsid w:val="00092AA2"/>
    <w:rsid w:val="00093628"/>
    <w:rsid w:val="00093705"/>
    <w:rsid w:val="00093960"/>
    <w:rsid w:val="00093EC7"/>
    <w:rsid w:val="000942B4"/>
    <w:rsid w:val="00095A07"/>
    <w:rsid w:val="00095C95"/>
    <w:rsid w:val="00095D10"/>
    <w:rsid w:val="00096027"/>
    <w:rsid w:val="00096986"/>
    <w:rsid w:val="00097990"/>
    <w:rsid w:val="00097CE2"/>
    <w:rsid w:val="00097FBF"/>
    <w:rsid w:val="000A0136"/>
    <w:rsid w:val="000A028D"/>
    <w:rsid w:val="000A0DCF"/>
    <w:rsid w:val="000A0F36"/>
    <w:rsid w:val="000A11D5"/>
    <w:rsid w:val="000A15A3"/>
    <w:rsid w:val="000A342A"/>
    <w:rsid w:val="000A3E01"/>
    <w:rsid w:val="000A4B55"/>
    <w:rsid w:val="000A4D67"/>
    <w:rsid w:val="000A4E74"/>
    <w:rsid w:val="000A51E1"/>
    <w:rsid w:val="000A51FE"/>
    <w:rsid w:val="000A6BB2"/>
    <w:rsid w:val="000A78F7"/>
    <w:rsid w:val="000B0B15"/>
    <w:rsid w:val="000B0CC0"/>
    <w:rsid w:val="000B1D36"/>
    <w:rsid w:val="000B3854"/>
    <w:rsid w:val="000B4286"/>
    <w:rsid w:val="000B441C"/>
    <w:rsid w:val="000B4AA6"/>
    <w:rsid w:val="000B5C3F"/>
    <w:rsid w:val="000B5C40"/>
    <w:rsid w:val="000B64F0"/>
    <w:rsid w:val="000B6592"/>
    <w:rsid w:val="000B67A9"/>
    <w:rsid w:val="000B74AD"/>
    <w:rsid w:val="000B7B84"/>
    <w:rsid w:val="000C03F5"/>
    <w:rsid w:val="000C04C0"/>
    <w:rsid w:val="000C0762"/>
    <w:rsid w:val="000C0D71"/>
    <w:rsid w:val="000C1354"/>
    <w:rsid w:val="000C15EA"/>
    <w:rsid w:val="000C164B"/>
    <w:rsid w:val="000C17D3"/>
    <w:rsid w:val="000C2368"/>
    <w:rsid w:val="000C2823"/>
    <w:rsid w:val="000C651A"/>
    <w:rsid w:val="000C66F1"/>
    <w:rsid w:val="000C7117"/>
    <w:rsid w:val="000C73FA"/>
    <w:rsid w:val="000C7498"/>
    <w:rsid w:val="000C7738"/>
    <w:rsid w:val="000D078D"/>
    <w:rsid w:val="000D0C9B"/>
    <w:rsid w:val="000D15D2"/>
    <w:rsid w:val="000D1F6E"/>
    <w:rsid w:val="000D276B"/>
    <w:rsid w:val="000D2C71"/>
    <w:rsid w:val="000D3557"/>
    <w:rsid w:val="000D3F67"/>
    <w:rsid w:val="000D5247"/>
    <w:rsid w:val="000D6CA6"/>
    <w:rsid w:val="000E0585"/>
    <w:rsid w:val="000E125E"/>
    <w:rsid w:val="000E183C"/>
    <w:rsid w:val="000E5664"/>
    <w:rsid w:val="000E5C6F"/>
    <w:rsid w:val="000E6943"/>
    <w:rsid w:val="000E72D9"/>
    <w:rsid w:val="000E78BB"/>
    <w:rsid w:val="000E7945"/>
    <w:rsid w:val="000F00B6"/>
    <w:rsid w:val="000F021F"/>
    <w:rsid w:val="000F031E"/>
    <w:rsid w:val="000F1EC3"/>
    <w:rsid w:val="000F2A49"/>
    <w:rsid w:val="000F3053"/>
    <w:rsid w:val="000F364C"/>
    <w:rsid w:val="000F3901"/>
    <w:rsid w:val="000F4017"/>
    <w:rsid w:val="000F5950"/>
    <w:rsid w:val="000F5C83"/>
    <w:rsid w:val="000F5FD8"/>
    <w:rsid w:val="000F7A77"/>
    <w:rsid w:val="00100371"/>
    <w:rsid w:val="00100627"/>
    <w:rsid w:val="0010066B"/>
    <w:rsid w:val="00100E95"/>
    <w:rsid w:val="00100F25"/>
    <w:rsid w:val="001011E5"/>
    <w:rsid w:val="00101521"/>
    <w:rsid w:val="001024C6"/>
    <w:rsid w:val="00102F15"/>
    <w:rsid w:val="0010365B"/>
    <w:rsid w:val="00103E37"/>
    <w:rsid w:val="00104381"/>
    <w:rsid w:val="0010645F"/>
    <w:rsid w:val="001068CE"/>
    <w:rsid w:val="00106FAC"/>
    <w:rsid w:val="001076FF"/>
    <w:rsid w:val="001107D4"/>
    <w:rsid w:val="00110BD6"/>
    <w:rsid w:val="00110BF8"/>
    <w:rsid w:val="00110D64"/>
    <w:rsid w:val="00112D53"/>
    <w:rsid w:val="00113597"/>
    <w:rsid w:val="00113CB6"/>
    <w:rsid w:val="00113DE3"/>
    <w:rsid w:val="001147DE"/>
    <w:rsid w:val="00115BAF"/>
    <w:rsid w:val="00115C4A"/>
    <w:rsid w:val="00116594"/>
    <w:rsid w:val="00116A90"/>
    <w:rsid w:val="00116B25"/>
    <w:rsid w:val="00116C28"/>
    <w:rsid w:val="00116E9F"/>
    <w:rsid w:val="00116EC3"/>
    <w:rsid w:val="001177FF"/>
    <w:rsid w:val="001226EE"/>
    <w:rsid w:val="00122BBE"/>
    <w:rsid w:val="00122D7C"/>
    <w:rsid w:val="001233C9"/>
    <w:rsid w:val="00123655"/>
    <w:rsid w:val="00123E9E"/>
    <w:rsid w:val="001244CE"/>
    <w:rsid w:val="00124A1F"/>
    <w:rsid w:val="0012590C"/>
    <w:rsid w:val="001259C2"/>
    <w:rsid w:val="0012692C"/>
    <w:rsid w:val="00126945"/>
    <w:rsid w:val="0012699B"/>
    <w:rsid w:val="00126A3A"/>
    <w:rsid w:val="00126C15"/>
    <w:rsid w:val="0012701D"/>
    <w:rsid w:val="00130276"/>
    <w:rsid w:val="00130728"/>
    <w:rsid w:val="00130843"/>
    <w:rsid w:val="00130991"/>
    <w:rsid w:val="001318A6"/>
    <w:rsid w:val="00131C6D"/>
    <w:rsid w:val="001321D1"/>
    <w:rsid w:val="0013228A"/>
    <w:rsid w:val="001325B8"/>
    <w:rsid w:val="001326E1"/>
    <w:rsid w:val="00132962"/>
    <w:rsid w:val="001339F6"/>
    <w:rsid w:val="001340EA"/>
    <w:rsid w:val="0013453C"/>
    <w:rsid w:val="00134E6D"/>
    <w:rsid w:val="00135D1A"/>
    <w:rsid w:val="0013646E"/>
    <w:rsid w:val="00137274"/>
    <w:rsid w:val="00137B3C"/>
    <w:rsid w:val="00137B9F"/>
    <w:rsid w:val="00137F60"/>
    <w:rsid w:val="001401E7"/>
    <w:rsid w:val="00140726"/>
    <w:rsid w:val="00140805"/>
    <w:rsid w:val="00141371"/>
    <w:rsid w:val="0014208F"/>
    <w:rsid w:val="00143364"/>
    <w:rsid w:val="001436A2"/>
    <w:rsid w:val="00143FD9"/>
    <w:rsid w:val="00144FF6"/>
    <w:rsid w:val="00145E1A"/>
    <w:rsid w:val="00145EA8"/>
    <w:rsid w:val="00146440"/>
    <w:rsid w:val="001465C8"/>
    <w:rsid w:val="00150200"/>
    <w:rsid w:val="001505E2"/>
    <w:rsid w:val="001506A4"/>
    <w:rsid w:val="00150F03"/>
    <w:rsid w:val="00151542"/>
    <w:rsid w:val="00151ADF"/>
    <w:rsid w:val="00151C4A"/>
    <w:rsid w:val="001521C5"/>
    <w:rsid w:val="001524CC"/>
    <w:rsid w:val="00152BAE"/>
    <w:rsid w:val="00152F66"/>
    <w:rsid w:val="00153DBD"/>
    <w:rsid w:val="0015465B"/>
    <w:rsid w:val="00154D23"/>
    <w:rsid w:val="0015550C"/>
    <w:rsid w:val="00155BFD"/>
    <w:rsid w:val="00155F2A"/>
    <w:rsid w:val="00156B32"/>
    <w:rsid w:val="00157311"/>
    <w:rsid w:val="001573F4"/>
    <w:rsid w:val="00161872"/>
    <w:rsid w:val="001620E7"/>
    <w:rsid w:val="00162454"/>
    <w:rsid w:val="001628CD"/>
    <w:rsid w:val="00163415"/>
    <w:rsid w:val="00163DFF"/>
    <w:rsid w:val="001652FB"/>
    <w:rsid w:val="00165B67"/>
    <w:rsid w:val="00165F20"/>
    <w:rsid w:val="00166040"/>
    <w:rsid w:val="0016616D"/>
    <w:rsid w:val="0016619A"/>
    <w:rsid w:val="00166C3C"/>
    <w:rsid w:val="00166C7D"/>
    <w:rsid w:val="00166F1D"/>
    <w:rsid w:val="0017001F"/>
    <w:rsid w:val="00170403"/>
    <w:rsid w:val="00170B4D"/>
    <w:rsid w:val="00170B8F"/>
    <w:rsid w:val="00170F6E"/>
    <w:rsid w:val="00171A80"/>
    <w:rsid w:val="00172B06"/>
    <w:rsid w:val="00173443"/>
    <w:rsid w:val="00173A5D"/>
    <w:rsid w:val="00174771"/>
    <w:rsid w:val="00174A93"/>
    <w:rsid w:val="00174F62"/>
    <w:rsid w:val="00175226"/>
    <w:rsid w:val="001755CB"/>
    <w:rsid w:val="0017561B"/>
    <w:rsid w:val="00175868"/>
    <w:rsid w:val="001761CE"/>
    <w:rsid w:val="00176D75"/>
    <w:rsid w:val="00177649"/>
    <w:rsid w:val="001777B6"/>
    <w:rsid w:val="00177AD6"/>
    <w:rsid w:val="00177BE3"/>
    <w:rsid w:val="00177E5B"/>
    <w:rsid w:val="00180179"/>
    <w:rsid w:val="00180593"/>
    <w:rsid w:val="001805C6"/>
    <w:rsid w:val="0018174A"/>
    <w:rsid w:val="0018197D"/>
    <w:rsid w:val="00181C38"/>
    <w:rsid w:val="00181CAE"/>
    <w:rsid w:val="00181CB1"/>
    <w:rsid w:val="00182184"/>
    <w:rsid w:val="00182479"/>
    <w:rsid w:val="001824B2"/>
    <w:rsid w:val="00182A1B"/>
    <w:rsid w:val="00183477"/>
    <w:rsid w:val="00183FDC"/>
    <w:rsid w:val="00184281"/>
    <w:rsid w:val="001843EA"/>
    <w:rsid w:val="001849FF"/>
    <w:rsid w:val="00184BA3"/>
    <w:rsid w:val="001852CC"/>
    <w:rsid w:val="00185AB9"/>
    <w:rsid w:val="00185B4E"/>
    <w:rsid w:val="00186988"/>
    <w:rsid w:val="00187166"/>
    <w:rsid w:val="00190E1B"/>
    <w:rsid w:val="00191183"/>
    <w:rsid w:val="001911D0"/>
    <w:rsid w:val="00191D08"/>
    <w:rsid w:val="001931BA"/>
    <w:rsid w:val="001931D1"/>
    <w:rsid w:val="00193241"/>
    <w:rsid w:val="0019358A"/>
    <w:rsid w:val="0019381E"/>
    <w:rsid w:val="0019430B"/>
    <w:rsid w:val="00194C40"/>
    <w:rsid w:val="00194C57"/>
    <w:rsid w:val="00195A8C"/>
    <w:rsid w:val="00195D6F"/>
    <w:rsid w:val="00195EFF"/>
    <w:rsid w:val="001961F0"/>
    <w:rsid w:val="001969C3"/>
    <w:rsid w:val="00196CB7"/>
    <w:rsid w:val="00196CEF"/>
    <w:rsid w:val="00196F21"/>
    <w:rsid w:val="00197250"/>
    <w:rsid w:val="001A0084"/>
    <w:rsid w:val="001A03D8"/>
    <w:rsid w:val="001A03E6"/>
    <w:rsid w:val="001A12E7"/>
    <w:rsid w:val="001A178A"/>
    <w:rsid w:val="001A2CCC"/>
    <w:rsid w:val="001A3081"/>
    <w:rsid w:val="001A4611"/>
    <w:rsid w:val="001A57D1"/>
    <w:rsid w:val="001A5BB5"/>
    <w:rsid w:val="001A5C98"/>
    <w:rsid w:val="001A5EC1"/>
    <w:rsid w:val="001A6322"/>
    <w:rsid w:val="001A682D"/>
    <w:rsid w:val="001A698A"/>
    <w:rsid w:val="001A6CC5"/>
    <w:rsid w:val="001A7EA6"/>
    <w:rsid w:val="001B01A9"/>
    <w:rsid w:val="001B045C"/>
    <w:rsid w:val="001B260D"/>
    <w:rsid w:val="001B2920"/>
    <w:rsid w:val="001B31C0"/>
    <w:rsid w:val="001B33C6"/>
    <w:rsid w:val="001B39C0"/>
    <w:rsid w:val="001B3AED"/>
    <w:rsid w:val="001B4878"/>
    <w:rsid w:val="001B4B87"/>
    <w:rsid w:val="001B55D8"/>
    <w:rsid w:val="001B5772"/>
    <w:rsid w:val="001B5A70"/>
    <w:rsid w:val="001B5C59"/>
    <w:rsid w:val="001B745F"/>
    <w:rsid w:val="001B75CA"/>
    <w:rsid w:val="001B7BE2"/>
    <w:rsid w:val="001B7C23"/>
    <w:rsid w:val="001B7DCA"/>
    <w:rsid w:val="001C182E"/>
    <w:rsid w:val="001C1EE5"/>
    <w:rsid w:val="001C200B"/>
    <w:rsid w:val="001C254D"/>
    <w:rsid w:val="001C3660"/>
    <w:rsid w:val="001C3D33"/>
    <w:rsid w:val="001C57CF"/>
    <w:rsid w:val="001C6B8C"/>
    <w:rsid w:val="001C6E5E"/>
    <w:rsid w:val="001C7492"/>
    <w:rsid w:val="001D3248"/>
    <w:rsid w:val="001D3356"/>
    <w:rsid w:val="001D3895"/>
    <w:rsid w:val="001D392F"/>
    <w:rsid w:val="001D518E"/>
    <w:rsid w:val="001D526A"/>
    <w:rsid w:val="001D542C"/>
    <w:rsid w:val="001D559E"/>
    <w:rsid w:val="001D5B38"/>
    <w:rsid w:val="001D5C69"/>
    <w:rsid w:val="001D785F"/>
    <w:rsid w:val="001D7C62"/>
    <w:rsid w:val="001E010F"/>
    <w:rsid w:val="001E0152"/>
    <w:rsid w:val="001E01BD"/>
    <w:rsid w:val="001E098A"/>
    <w:rsid w:val="001E15F8"/>
    <w:rsid w:val="001E1C23"/>
    <w:rsid w:val="001E1F18"/>
    <w:rsid w:val="001E2A72"/>
    <w:rsid w:val="001E2E64"/>
    <w:rsid w:val="001E3C49"/>
    <w:rsid w:val="001E3DC8"/>
    <w:rsid w:val="001E47FA"/>
    <w:rsid w:val="001E5013"/>
    <w:rsid w:val="001E51A9"/>
    <w:rsid w:val="001E55A2"/>
    <w:rsid w:val="001E71AB"/>
    <w:rsid w:val="001E7DC7"/>
    <w:rsid w:val="001F032C"/>
    <w:rsid w:val="001F0B7F"/>
    <w:rsid w:val="001F0D2F"/>
    <w:rsid w:val="001F100F"/>
    <w:rsid w:val="001F1307"/>
    <w:rsid w:val="001F13A7"/>
    <w:rsid w:val="001F16DD"/>
    <w:rsid w:val="001F1D5A"/>
    <w:rsid w:val="001F2265"/>
    <w:rsid w:val="001F2927"/>
    <w:rsid w:val="001F32C5"/>
    <w:rsid w:val="001F38DF"/>
    <w:rsid w:val="001F4328"/>
    <w:rsid w:val="001F439F"/>
    <w:rsid w:val="001F6555"/>
    <w:rsid w:val="001F7418"/>
    <w:rsid w:val="0020094D"/>
    <w:rsid w:val="00200AC6"/>
    <w:rsid w:val="00200B26"/>
    <w:rsid w:val="00200D4F"/>
    <w:rsid w:val="00201183"/>
    <w:rsid w:val="002012FB"/>
    <w:rsid w:val="002018D4"/>
    <w:rsid w:val="0020233C"/>
    <w:rsid w:val="00202382"/>
    <w:rsid w:val="00202631"/>
    <w:rsid w:val="00202A98"/>
    <w:rsid w:val="0020375E"/>
    <w:rsid w:val="0020384B"/>
    <w:rsid w:val="002038F7"/>
    <w:rsid w:val="00204407"/>
    <w:rsid w:val="00204611"/>
    <w:rsid w:val="00204828"/>
    <w:rsid w:val="00204F86"/>
    <w:rsid w:val="0020609A"/>
    <w:rsid w:val="00206733"/>
    <w:rsid w:val="00206B01"/>
    <w:rsid w:val="00207B35"/>
    <w:rsid w:val="00207EB4"/>
    <w:rsid w:val="00210469"/>
    <w:rsid w:val="002109BF"/>
    <w:rsid w:val="00212DDB"/>
    <w:rsid w:val="002132CB"/>
    <w:rsid w:val="002135A7"/>
    <w:rsid w:val="00214305"/>
    <w:rsid w:val="002156CD"/>
    <w:rsid w:val="00215DAA"/>
    <w:rsid w:val="00216381"/>
    <w:rsid w:val="00217A16"/>
    <w:rsid w:val="00217E16"/>
    <w:rsid w:val="002207BA"/>
    <w:rsid w:val="00221072"/>
    <w:rsid w:val="00222742"/>
    <w:rsid w:val="002229CA"/>
    <w:rsid w:val="00222FE7"/>
    <w:rsid w:val="0022337B"/>
    <w:rsid w:val="00225501"/>
    <w:rsid w:val="0022602F"/>
    <w:rsid w:val="00226318"/>
    <w:rsid w:val="00226B1E"/>
    <w:rsid w:val="00227707"/>
    <w:rsid w:val="002303C8"/>
    <w:rsid w:val="002304A4"/>
    <w:rsid w:val="00230A93"/>
    <w:rsid w:val="00230BE9"/>
    <w:rsid w:val="00230BEF"/>
    <w:rsid w:val="002319BC"/>
    <w:rsid w:val="00231AD1"/>
    <w:rsid w:val="00232033"/>
    <w:rsid w:val="00233E76"/>
    <w:rsid w:val="002341CF"/>
    <w:rsid w:val="00234B36"/>
    <w:rsid w:val="002355AE"/>
    <w:rsid w:val="002358FE"/>
    <w:rsid w:val="002366BB"/>
    <w:rsid w:val="00236730"/>
    <w:rsid w:val="002372A0"/>
    <w:rsid w:val="00237603"/>
    <w:rsid w:val="00240037"/>
    <w:rsid w:val="00241258"/>
    <w:rsid w:val="00241488"/>
    <w:rsid w:val="002418A2"/>
    <w:rsid w:val="00241F6C"/>
    <w:rsid w:val="002424B3"/>
    <w:rsid w:val="00242E60"/>
    <w:rsid w:val="0024481B"/>
    <w:rsid w:val="00244AEB"/>
    <w:rsid w:val="00245454"/>
    <w:rsid w:val="00245BCA"/>
    <w:rsid w:val="00245C2C"/>
    <w:rsid w:val="00246075"/>
    <w:rsid w:val="002461D8"/>
    <w:rsid w:val="0024621E"/>
    <w:rsid w:val="00247E74"/>
    <w:rsid w:val="0025004D"/>
    <w:rsid w:val="002501C3"/>
    <w:rsid w:val="0025051E"/>
    <w:rsid w:val="00250648"/>
    <w:rsid w:val="00251266"/>
    <w:rsid w:val="00251669"/>
    <w:rsid w:val="00251BA4"/>
    <w:rsid w:val="00252BF2"/>
    <w:rsid w:val="0025327C"/>
    <w:rsid w:val="0025335F"/>
    <w:rsid w:val="00253CA3"/>
    <w:rsid w:val="0025403C"/>
    <w:rsid w:val="00254E8E"/>
    <w:rsid w:val="00255711"/>
    <w:rsid w:val="002557BF"/>
    <w:rsid w:val="00255D93"/>
    <w:rsid w:val="00255F3C"/>
    <w:rsid w:val="00256872"/>
    <w:rsid w:val="00257898"/>
    <w:rsid w:val="002578DE"/>
    <w:rsid w:val="0026009D"/>
    <w:rsid w:val="002608E9"/>
    <w:rsid w:val="00260AA9"/>
    <w:rsid w:val="00260B1D"/>
    <w:rsid w:val="00261C52"/>
    <w:rsid w:val="00261FBF"/>
    <w:rsid w:val="00262C5D"/>
    <w:rsid w:val="00262E38"/>
    <w:rsid w:val="00262EF7"/>
    <w:rsid w:val="00263261"/>
    <w:rsid w:val="00263281"/>
    <w:rsid w:val="0026361E"/>
    <w:rsid w:val="002654D4"/>
    <w:rsid w:val="00265A47"/>
    <w:rsid w:val="00265BC1"/>
    <w:rsid w:val="00265EAE"/>
    <w:rsid w:val="002660EA"/>
    <w:rsid w:val="00266A51"/>
    <w:rsid w:val="00266CFD"/>
    <w:rsid w:val="0026775E"/>
    <w:rsid w:val="00267902"/>
    <w:rsid w:val="0026798E"/>
    <w:rsid w:val="00267AFC"/>
    <w:rsid w:val="00267B4B"/>
    <w:rsid w:val="00267EDE"/>
    <w:rsid w:val="0027031C"/>
    <w:rsid w:val="0027073E"/>
    <w:rsid w:val="002708EB"/>
    <w:rsid w:val="00270AEB"/>
    <w:rsid w:val="00270BD2"/>
    <w:rsid w:val="0027137C"/>
    <w:rsid w:val="002718F9"/>
    <w:rsid w:val="00271931"/>
    <w:rsid w:val="0027269C"/>
    <w:rsid w:val="00273C52"/>
    <w:rsid w:val="00275D82"/>
    <w:rsid w:val="00276416"/>
    <w:rsid w:val="00276814"/>
    <w:rsid w:val="002769C8"/>
    <w:rsid w:val="00276DEF"/>
    <w:rsid w:val="002775AF"/>
    <w:rsid w:val="00280F51"/>
    <w:rsid w:val="002812BB"/>
    <w:rsid w:val="00281724"/>
    <w:rsid w:val="00282941"/>
    <w:rsid w:val="00283441"/>
    <w:rsid w:val="00283D06"/>
    <w:rsid w:val="002847AB"/>
    <w:rsid w:val="00284AA7"/>
    <w:rsid w:val="00284E43"/>
    <w:rsid w:val="00285284"/>
    <w:rsid w:val="00285331"/>
    <w:rsid w:val="002856DA"/>
    <w:rsid w:val="00285D48"/>
    <w:rsid w:val="00285D97"/>
    <w:rsid w:val="00285DEC"/>
    <w:rsid w:val="00285E1F"/>
    <w:rsid w:val="00286260"/>
    <w:rsid w:val="002866C6"/>
    <w:rsid w:val="00286C3F"/>
    <w:rsid w:val="00287AD9"/>
    <w:rsid w:val="0029038F"/>
    <w:rsid w:val="00290C01"/>
    <w:rsid w:val="00290F98"/>
    <w:rsid w:val="00291FB5"/>
    <w:rsid w:val="00292A36"/>
    <w:rsid w:val="00292B80"/>
    <w:rsid w:val="0029414F"/>
    <w:rsid w:val="00294459"/>
    <w:rsid w:val="00294533"/>
    <w:rsid w:val="002948E8"/>
    <w:rsid w:val="00294B87"/>
    <w:rsid w:val="00295AD4"/>
    <w:rsid w:val="002967EE"/>
    <w:rsid w:val="002971CF"/>
    <w:rsid w:val="00297748"/>
    <w:rsid w:val="00297A36"/>
    <w:rsid w:val="00297EFE"/>
    <w:rsid w:val="002A0F9A"/>
    <w:rsid w:val="002A0FC7"/>
    <w:rsid w:val="002A1D23"/>
    <w:rsid w:val="002A2EE6"/>
    <w:rsid w:val="002A308F"/>
    <w:rsid w:val="002A3197"/>
    <w:rsid w:val="002A38F5"/>
    <w:rsid w:val="002A3C02"/>
    <w:rsid w:val="002A43C2"/>
    <w:rsid w:val="002A4DD5"/>
    <w:rsid w:val="002A63C9"/>
    <w:rsid w:val="002A71D5"/>
    <w:rsid w:val="002A79F5"/>
    <w:rsid w:val="002A7F88"/>
    <w:rsid w:val="002B1507"/>
    <w:rsid w:val="002B2DB6"/>
    <w:rsid w:val="002B3802"/>
    <w:rsid w:val="002B3835"/>
    <w:rsid w:val="002B3DFC"/>
    <w:rsid w:val="002B432D"/>
    <w:rsid w:val="002B453E"/>
    <w:rsid w:val="002B4AD2"/>
    <w:rsid w:val="002B4E30"/>
    <w:rsid w:val="002B520D"/>
    <w:rsid w:val="002B5E51"/>
    <w:rsid w:val="002B5EF9"/>
    <w:rsid w:val="002B6C13"/>
    <w:rsid w:val="002B6D81"/>
    <w:rsid w:val="002B73C3"/>
    <w:rsid w:val="002B7B14"/>
    <w:rsid w:val="002B7BDE"/>
    <w:rsid w:val="002B7D31"/>
    <w:rsid w:val="002B7EE9"/>
    <w:rsid w:val="002C1EF9"/>
    <w:rsid w:val="002C2BE8"/>
    <w:rsid w:val="002C4EC9"/>
    <w:rsid w:val="002C4EE1"/>
    <w:rsid w:val="002C52BE"/>
    <w:rsid w:val="002C5500"/>
    <w:rsid w:val="002C6836"/>
    <w:rsid w:val="002C6994"/>
    <w:rsid w:val="002C69D8"/>
    <w:rsid w:val="002C6DB8"/>
    <w:rsid w:val="002C714F"/>
    <w:rsid w:val="002C7C18"/>
    <w:rsid w:val="002C7CDE"/>
    <w:rsid w:val="002C7CE5"/>
    <w:rsid w:val="002C7E67"/>
    <w:rsid w:val="002C7F02"/>
    <w:rsid w:val="002D00E5"/>
    <w:rsid w:val="002D075B"/>
    <w:rsid w:val="002D159A"/>
    <w:rsid w:val="002D1BD6"/>
    <w:rsid w:val="002D1D0C"/>
    <w:rsid w:val="002D2CE8"/>
    <w:rsid w:val="002D2EFD"/>
    <w:rsid w:val="002D30C7"/>
    <w:rsid w:val="002D3648"/>
    <w:rsid w:val="002D4369"/>
    <w:rsid w:val="002D54F7"/>
    <w:rsid w:val="002D5B22"/>
    <w:rsid w:val="002D5BAA"/>
    <w:rsid w:val="002D5BED"/>
    <w:rsid w:val="002D5FF0"/>
    <w:rsid w:val="002D6B31"/>
    <w:rsid w:val="002D7A52"/>
    <w:rsid w:val="002D7D15"/>
    <w:rsid w:val="002E014D"/>
    <w:rsid w:val="002E04F7"/>
    <w:rsid w:val="002E07A2"/>
    <w:rsid w:val="002E0F53"/>
    <w:rsid w:val="002E1CA8"/>
    <w:rsid w:val="002E233D"/>
    <w:rsid w:val="002E2B6E"/>
    <w:rsid w:val="002E2BF6"/>
    <w:rsid w:val="002E2CEA"/>
    <w:rsid w:val="002E3140"/>
    <w:rsid w:val="002E347A"/>
    <w:rsid w:val="002E396B"/>
    <w:rsid w:val="002E3C2B"/>
    <w:rsid w:val="002E47B5"/>
    <w:rsid w:val="002E495E"/>
    <w:rsid w:val="002E4A6B"/>
    <w:rsid w:val="002E4F28"/>
    <w:rsid w:val="002E5B13"/>
    <w:rsid w:val="002E6161"/>
    <w:rsid w:val="002E620A"/>
    <w:rsid w:val="002E6339"/>
    <w:rsid w:val="002E640C"/>
    <w:rsid w:val="002E68CA"/>
    <w:rsid w:val="002E7637"/>
    <w:rsid w:val="002F032B"/>
    <w:rsid w:val="002F0B30"/>
    <w:rsid w:val="002F0F5E"/>
    <w:rsid w:val="002F1055"/>
    <w:rsid w:val="002F14B7"/>
    <w:rsid w:val="002F2274"/>
    <w:rsid w:val="002F318F"/>
    <w:rsid w:val="002F31D5"/>
    <w:rsid w:val="002F4313"/>
    <w:rsid w:val="002F49F0"/>
    <w:rsid w:val="002F4E2E"/>
    <w:rsid w:val="002F58B6"/>
    <w:rsid w:val="002F5C93"/>
    <w:rsid w:val="002F5DCA"/>
    <w:rsid w:val="002F6FD3"/>
    <w:rsid w:val="002F769C"/>
    <w:rsid w:val="002F786D"/>
    <w:rsid w:val="002F7D4D"/>
    <w:rsid w:val="00300C1A"/>
    <w:rsid w:val="00300E9E"/>
    <w:rsid w:val="003015A1"/>
    <w:rsid w:val="0030171A"/>
    <w:rsid w:val="0030173B"/>
    <w:rsid w:val="0030216A"/>
    <w:rsid w:val="00304B03"/>
    <w:rsid w:val="00306706"/>
    <w:rsid w:val="003075C6"/>
    <w:rsid w:val="00310624"/>
    <w:rsid w:val="0031088C"/>
    <w:rsid w:val="00311718"/>
    <w:rsid w:val="00312565"/>
    <w:rsid w:val="0031265C"/>
    <w:rsid w:val="00312A01"/>
    <w:rsid w:val="00312E12"/>
    <w:rsid w:val="003132FB"/>
    <w:rsid w:val="003132FE"/>
    <w:rsid w:val="00313FF5"/>
    <w:rsid w:val="0031474D"/>
    <w:rsid w:val="00314751"/>
    <w:rsid w:val="00314B1A"/>
    <w:rsid w:val="00315077"/>
    <w:rsid w:val="00315910"/>
    <w:rsid w:val="0031594C"/>
    <w:rsid w:val="003161D9"/>
    <w:rsid w:val="00316223"/>
    <w:rsid w:val="003168B4"/>
    <w:rsid w:val="0031740C"/>
    <w:rsid w:val="003204BE"/>
    <w:rsid w:val="0032052C"/>
    <w:rsid w:val="00320682"/>
    <w:rsid w:val="003208F7"/>
    <w:rsid w:val="00320E41"/>
    <w:rsid w:val="00320E60"/>
    <w:rsid w:val="00321515"/>
    <w:rsid w:val="003219E5"/>
    <w:rsid w:val="00321F1B"/>
    <w:rsid w:val="00322A99"/>
    <w:rsid w:val="00322CD0"/>
    <w:rsid w:val="00323689"/>
    <w:rsid w:val="00324AED"/>
    <w:rsid w:val="003253A7"/>
    <w:rsid w:val="00327FAE"/>
    <w:rsid w:val="00330F83"/>
    <w:rsid w:val="00331C2A"/>
    <w:rsid w:val="003326C3"/>
    <w:rsid w:val="00332CBC"/>
    <w:rsid w:val="00334757"/>
    <w:rsid w:val="00334DD7"/>
    <w:rsid w:val="003354B3"/>
    <w:rsid w:val="00335A17"/>
    <w:rsid w:val="0033642D"/>
    <w:rsid w:val="003366B5"/>
    <w:rsid w:val="003369D6"/>
    <w:rsid w:val="00336CD1"/>
    <w:rsid w:val="00337BA1"/>
    <w:rsid w:val="003400AE"/>
    <w:rsid w:val="003411BD"/>
    <w:rsid w:val="0034128A"/>
    <w:rsid w:val="0034196B"/>
    <w:rsid w:val="00341C1C"/>
    <w:rsid w:val="00343225"/>
    <w:rsid w:val="0034335C"/>
    <w:rsid w:val="00343EC4"/>
    <w:rsid w:val="003443BB"/>
    <w:rsid w:val="00344707"/>
    <w:rsid w:val="00344AE8"/>
    <w:rsid w:val="00344C12"/>
    <w:rsid w:val="00344D2A"/>
    <w:rsid w:val="00346159"/>
    <w:rsid w:val="003467FD"/>
    <w:rsid w:val="003470EE"/>
    <w:rsid w:val="00347946"/>
    <w:rsid w:val="003518F3"/>
    <w:rsid w:val="00352903"/>
    <w:rsid w:val="00352B00"/>
    <w:rsid w:val="00352B24"/>
    <w:rsid w:val="003531D5"/>
    <w:rsid w:val="00353DB6"/>
    <w:rsid w:val="003543C5"/>
    <w:rsid w:val="00354E68"/>
    <w:rsid w:val="00354E6C"/>
    <w:rsid w:val="003550D0"/>
    <w:rsid w:val="0035542A"/>
    <w:rsid w:val="0035557D"/>
    <w:rsid w:val="003557BD"/>
    <w:rsid w:val="003560D0"/>
    <w:rsid w:val="00356467"/>
    <w:rsid w:val="003565C7"/>
    <w:rsid w:val="0036112F"/>
    <w:rsid w:val="00362046"/>
    <w:rsid w:val="00362432"/>
    <w:rsid w:val="00362A79"/>
    <w:rsid w:val="00362D44"/>
    <w:rsid w:val="00363ADA"/>
    <w:rsid w:val="003648AA"/>
    <w:rsid w:val="00365374"/>
    <w:rsid w:val="003657B7"/>
    <w:rsid w:val="00367139"/>
    <w:rsid w:val="00367939"/>
    <w:rsid w:val="00370C9B"/>
    <w:rsid w:val="00370E0C"/>
    <w:rsid w:val="00371AB5"/>
    <w:rsid w:val="00373C48"/>
    <w:rsid w:val="003742E4"/>
    <w:rsid w:val="00374642"/>
    <w:rsid w:val="00374A91"/>
    <w:rsid w:val="00376DB6"/>
    <w:rsid w:val="00377127"/>
    <w:rsid w:val="00380C2B"/>
    <w:rsid w:val="003812A1"/>
    <w:rsid w:val="00382629"/>
    <w:rsid w:val="0038276A"/>
    <w:rsid w:val="00382F40"/>
    <w:rsid w:val="0038396C"/>
    <w:rsid w:val="00383B38"/>
    <w:rsid w:val="00383B74"/>
    <w:rsid w:val="00383FCF"/>
    <w:rsid w:val="003845CD"/>
    <w:rsid w:val="003847D4"/>
    <w:rsid w:val="00384FC5"/>
    <w:rsid w:val="00385230"/>
    <w:rsid w:val="00385DC8"/>
    <w:rsid w:val="00385F19"/>
    <w:rsid w:val="0038607D"/>
    <w:rsid w:val="00386B0B"/>
    <w:rsid w:val="00386BDB"/>
    <w:rsid w:val="00386CA7"/>
    <w:rsid w:val="003874B8"/>
    <w:rsid w:val="003876D9"/>
    <w:rsid w:val="0039070D"/>
    <w:rsid w:val="0039092A"/>
    <w:rsid w:val="00390BD1"/>
    <w:rsid w:val="00391385"/>
    <w:rsid w:val="00391761"/>
    <w:rsid w:val="00391BC0"/>
    <w:rsid w:val="003925E8"/>
    <w:rsid w:val="0039292C"/>
    <w:rsid w:val="00392FC6"/>
    <w:rsid w:val="0039303F"/>
    <w:rsid w:val="00393148"/>
    <w:rsid w:val="00393216"/>
    <w:rsid w:val="00394BCB"/>
    <w:rsid w:val="00396C9F"/>
    <w:rsid w:val="003974CA"/>
    <w:rsid w:val="003976CE"/>
    <w:rsid w:val="00397A18"/>
    <w:rsid w:val="00397B1A"/>
    <w:rsid w:val="00397B44"/>
    <w:rsid w:val="00397C3F"/>
    <w:rsid w:val="00397D80"/>
    <w:rsid w:val="00397F9F"/>
    <w:rsid w:val="003A0034"/>
    <w:rsid w:val="003A0413"/>
    <w:rsid w:val="003A0836"/>
    <w:rsid w:val="003A19EB"/>
    <w:rsid w:val="003A274C"/>
    <w:rsid w:val="003A27CB"/>
    <w:rsid w:val="003A2B7D"/>
    <w:rsid w:val="003A2D90"/>
    <w:rsid w:val="003A2EA3"/>
    <w:rsid w:val="003A335B"/>
    <w:rsid w:val="003A370D"/>
    <w:rsid w:val="003A3E91"/>
    <w:rsid w:val="003A3F2F"/>
    <w:rsid w:val="003A4FAF"/>
    <w:rsid w:val="003A4FD0"/>
    <w:rsid w:val="003A5FA3"/>
    <w:rsid w:val="003B0221"/>
    <w:rsid w:val="003B039F"/>
    <w:rsid w:val="003B10BA"/>
    <w:rsid w:val="003B1556"/>
    <w:rsid w:val="003B2B6C"/>
    <w:rsid w:val="003B2B79"/>
    <w:rsid w:val="003B2CEA"/>
    <w:rsid w:val="003B4070"/>
    <w:rsid w:val="003B4C52"/>
    <w:rsid w:val="003B6D20"/>
    <w:rsid w:val="003C1177"/>
    <w:rsid w:val="003C1ADC"/>
    <w:rsid w:val="003C2802"/>
    <w:rsid w:val="003C47BF"/>
    <w:rsid w:val="003C4AB6"/>
    <w:rsid w:val="003C511E"/>
    <w:rsid w:val="003C533A"/>
    <w:rsid w:val="003C579C"/>
    <w:rsid w:val="003C5A88"/>
    <w:rsid w:val="003C5DCA"/>
    <w:rsid w:val="003C706E"/>
    <w:rsid w:val="003C79B4"/>
    <w:rsid w:val="003D04EA"/>
    <w:rsid w:val="003D10C5"/>
    <w:rsid w:val="003D1276"/>
    <w:rsid w:val="003D15CC"/>
    <w:rsid w:val="003D167F"/>
    <w:rsid w:val="003D1B35"/>
    <w:rsid w:val="003D1E5F"/>
    <w:rsid w:val="003D2252"/>
    <w:rsid w:val="003D252A"/>
    <w:rsid w:val="003D2632"/>
    <w:rsid w:val="003D3C12"/>
    <w:rsid w:val="003D5446"/>
    <w:rsid w:val="003E081F"/>
    <w:rsid w:val="003E0B65"/>
    <w:rsid w:val="003E0BD9"/>
    <w:rsid w:val="003E0CD8"/>
    <w:rsid w:val="003E1378"/>
    <w:rsid w:val="003E225C"/>
    <w:rsid w:val="003E22D4"/>
    <w:rsid w:val="003E2413"/>
    <w:rsid w:val="003E2709"/>
    <w:rsid w:val="003E2817"/>
    <w:rsid w:val="003E2D89"/>
    <w:rsid w:val="003E2DC7"/>
    <w:rsid w:val="003E2F1E"/>
    <w:rsid w:val="003E32F9"/>
    <w:rsid w:val="003E3451"/>
    <w:rsid w:val="003E4006"/>
    <w:rsid w:val="003E41CA"/>
    <w:rsid w:val="003E4695"/>
    <w:rsid w:val="003E515C"/>
    <w:rsid w:val="003E5C31"/>
    <w:rsid w:val="003E5EF7"/>
    <w:rsid w:val="003E686D"/>
    <w:rsid w:val="003E76D6"/>
    <w:rsid w:val="003E7A81"/>
    <w:rsid w:val="003F0048"/>
    <w:rsid w:val="003F0433"/>
    <w:rsid w:val="003F1C9A"/>
    <w:rsid w:val="003F1D33"/>
    <w:rsid w:val="003F27D0"/>
    <w:rsid w:val="003F29D6"/>
    <w:rsid w:val="003F2C16"/>
    <w:rsid w:val="003F3028"/>
    <w:rsid w:val="003F32AB"/>
    <w:rsid w:val="003F3302"/>
    <w:rsid w:val="003F337D"/>
    <w:rsid w:val="003F3DDA"/>
    <w:rsid w:val="003F3ED7"/>
    <w:rsid w:val="003F3EED"/>
    <w:rsid w:val="003F4695"/>
    <w:rsid w:val="003F491E"/>
    <w:rsid w:val="003F540A"/>
    <w:rsid w:val="003F55DC"/>
    <w:rsid w:val="003F61F8"/>
    <w:rsid w:val="003F6423"/>
    <w:rsid w:val="003F67B0"/>
    <w:rsid w:val="003F7BE6"/>
    <w:rsid w:val="003F7FC1"/>
    <w:rsid w:val="004000F4"/>
    <w:rsid w:val="0040202C"/>
    <w:rsid w:val="0040241A"/>
    <w:rsid w:val="0040282B"/>
    <w:rsid w:val="00402FCE"/>
    <w:rsid w:val="0040370F"/>
    <w:rsid w:val="004037FC"/>
    <w:rsid w:val="00403A27"/>
    <w:rsid w:val="00403D1E"/>
    <w:rsid w:val="00403ED0"/>
    <w:rsid w:val="004044C8"/>
    <w:rsid w:val="0040450A"/>
    <w:rsid w:val="00404594"/>
    <w:rsid w:val="00404A2E"/>
    <w:rsid w:val="00405200"/>
    <w:rsid w:val="004055D3"/>
    <w:rsid w:val="00405FA9"/>
    <w:rsid w:val="00405FB8"/>
    <w:rsid w:val="004066DE"/>
    <w:rsid w:val="0040727C"/>
    <w:rsid w:val="00410592"/>
    <w:rsid w:val="004106CD"/>
    <w:rsid w:val="00411B00"/>
    <w:rsid w:val="00412A23"/>
    <w:rsid w:val="00413AFA"/>
    <w:rsid w:val="00413E49"/>
    <w:rsid w:val="00414204"/>
    <w:rsid w:val="00414400"/>
    <w:rsid w:val="00415099"/>
    <w:rsid w:val="00415E95"/>
    <w:rsid w:val="00415EBD"/>
    <w:rsid w:val="004161B7"/>
    <w:rsid w:val="00416D25"/>
    <w:rsid w:val="004176C3"/>
    <w:rsid w:val="00417991"/>
    <w:rsid w:val="004208B7"/>
    <w:rsid w:val="00420B01"/>
    <w:rsid w:val="00420E67"/>
    <w:rsid w:val="0042172D"/>
    <w:rsid w:val="00421B5D"/>
    <w:rsid w:val="004224DC"/>
    <w:rsid w:val="004236E8"/>
    <w:rsid w:val="0042387F"/>
    <w:rsid w:val="00423944"/>
    <w:rsid w:val="004242A9"/>
    <w:rsid w:val="00424AED"/>
    <w:rsid w:val="00424D31"/>
    <w:rsid w:val="00425C58"/>
    <w:rsid w:val="00425FB9"/>
    <w:rsid w:val="0042602A"/>
    <w:rsid w:val="0042633F"/>
    <w:rsid w:val="00426C23"/>
    <w:rsid w:val="00426EF6"/>
    <w:rsid w:val="004274B5"/>
    <w:rsid w:val="004308CF"/>
    <w:rsid w:val="0043159B"/>
    <w:rsid w:val="004316D0"/>
    <w:rsid w:val="0043198F"/>
    <w:rsid w:val="004322D7"/>
    <w:rsid w:val="004323AA"/>
    <w:rsid w:val="004329EB"/>
    <w:rsid w:val="00432F6F"/>
    <w:rsid w:val="0043307F"/>
    <w:rsid w:val="00433960"/>
    <w:rsid w:val="00433D19"/>
    <w:rsid w:val="00434A55"/>
    <w:rsid w:val="00434B30"/>
    <w:rsid w:val="00434F73"/>
    <w:rsid w:val="00435357"/>
    <w:rsid w:val="0043565C"/>
    <w:rsid w:val="00436307"/>
    <w:rsid w:val="00436B5D"/>
    <w:rsid w:val="00436CD3"/>
    <w:rsid w:val="00437A8B"/>
    <w:rsid w:val="00437E0E"/>
    <w:rsid w:val="0044038B"/>
    <w:rsid w:val="00440779"/>
    <w:rsid w:val="00440D49"/>
    <w:rsid w:val="0044141D"/>
    <w:rsid w:val="004415D2"/>
    <w:rsid w:val="00441FC5"/>
    <w:rsid w:val="00441FF6"/>
    <w:rsid w:val="004422FB"/>
    <w:rsid w:val="00442D43"/>
    <w:rsid w:val="00443009"/>
    <w:rsid w:val="004451CB"/>
    <w:rsid w:val="00445B68"/>
    <w:rsid w:val="00446306"/>
    <w:rsid w:val="0044656A"/>
    <w:rsid w:val="00446D6E"/>
    <w:rsid w:val="00447A4C"/>
    <w:rsid w:val="00447DA6"/>
    <w:rsid w:val="00450E17"/>
    <w:rsid w:val="00450F74"/>
    <w:rsid w:val="00450F7A"/>
    <w:rsid w:val="00451339"/>
    <w:rsid w:val="00451492"/>
    <w:rsid w:val="004522B7"/>
    <w:rsid w:val="0045273D"/>
    <w:rsid w:val="00452942"/>
    <w:rsid w:val="004534C5"/>
    <w:rsid w:val="00453E4D"/>
    <w:rsid w:val="004547AC"/>
    <w:rsid w:val="00454AAC"/>
    <w:rsid w:val="00455457"/>
    <w:rsid w:val="0045565B"/>
    <w:rsid w:val="00455974"/>
    <w:rsid w:val="00456A0F"/>
    <w:rsid w:val="00456A6C"/>
    <w:rsid w:val="00460A94"/>
    <w:rsid w:val="004613D2"/>
    <w:rsid w:val="00461B93"/>
    <w:rsid w:val="00462E1F"/>
    <w:rsid w:val="0046357D"/>
    <w:rsid w:val="00463CA9"/>
    <w:rsid w:val="00463F1C"/>
    <w:rsid w:val="00464BE2"/>
    <w:rsid w:val="00464ECF"/>
    <w:rsid w:val="004658B3"/>
    <w:rsid w:val="00466265"/>
    <w:rsid w:val="004669EE"/>
    <w:rsid w:val="004671D9"/>
    <w:rsid w:val="004677A6"/>
    <w:rsid w:val="004679B8"/>
    <w:rsid w:val="00470C80"/>
    <w:rsid w:val="00470F72"/>
    <w:rsid w:val="00471066"/>
    <w:rsid w:val="00471177"/>
    <w:rsid w:val="004716E6"/>
    <w:rsid w:val="00472AF5"/>
    <w:rsid w:val="004730C5"/>
    <w:rsid w:val="00474647"/>
    <w:rsid w:val="004759DF"/>
    <w:rsid w:val="00475E3B"/>
    <w:rsid w:val="00476895"/>
    <w:rsid w:val="00476A9B"/>
    <w:rsid w:val="00476C7B"/>
    <w:rsid w:val="00476D05"/>
    <w:rsid w:val="00476D3E"/>
    <w:rsid w:val="00477305"/>
    <w:rsid w:val="00477C9F"/>
    <w:rsid w:val="004809A2"/>
    <w:rsid w:val="00480CDB"/>
    <w:rsid w:val="00481416"/>
    <w:rsid w:val="00481D13"/>
    <w:rsid w:val="00482479"/>
    <w:rsid w:val="00482AE4"/>
    <w:rsid w:val="00482F01"/>
    <w:rsid w:val="00483832"/>
    <w:rsid w:val="0048387C"/>
    <w:rsid w:val="0048458D"/>
    <w:rsid w:val="0048468D"/>
    <w:rsid w:val="00484B31"/>
    <w:rsid w:val="00484C53"/>
    <w:rsid w:val="00484C5F"/>
    <w:rsid w:val="0048517B"/>
    <w:rsid w:val="00486E31"/>
    <w:rsid w:val="00487AB8"/>
    <w:rsid w:val="00487D6E"/>
    <w:rsid w:val="00490CAE"/>
    <w:rsid w:val="00490D1B"/>
    <w:rsid w:val="004926CF"/>
    <w:rsid w:val="00493002"/>
    <w:rsid w:val="00493A64"/>
    <w:rsid w:val="00494F5E"/>
    <w:rsid w:val="00495E5B"/>
    <w:rsid w:val="00495EE5"/>
    <w:rsid w:val="00495F35"/>
    <w:rsid w:val="00496943"/>
    <w:rsid w:val="00497019"/>
    <w:rsid w:val="00497902"/>
    <w:rsid w:val="004A05E3"/>
    <w:rsid w:val="004A1B33"/>
    <w:rsid w:val="004A22D6"/>
    <w:rsid w:val="004A23E1"/>
    <w:rsid w:val="004A29D0"/>
    <w:rsid w:val="004A2B3F"/>
    <w:rsid w:val="004A2D0F"/>
    <w:rsid w:val="004A3567"/>
    <w:rsid w:val="004A3868"/>
    <w:rsid w:val="004A3B49"/>
    <w:rsid w:val="004A3CD7"/>
    <w:rsid w:val="004A4148"/>
    <w:rsid w:val="004A4532"/>
    <w:rsid w:val="004A4C85"/>
    <w:rsid w:val="004A548F"/>
    <w:rsid w:val="004A5B5B"/>
    <w:rsid w:val="004A5FCA"/>
    <w:rsid w:val="004A6129"/>
    <w:rsid w:val="004A6260"/>
    <w:rsid w:val="004A66FF"/>
    <w:rsid w:val="004A6788"/>
    <w:rsid w:val="004A79D3"/>
    <w:rsid w:val="004B0511"/>
    <w:rsid w:val="004B092C"/>
    <w:rsid w:val="004B15C4"/>
    <w:rsid w:val="004B1D5D"/>
    <w:rsid w:val="004B1F3F"/>
    <w:rsid w:val="004B20D2"/>
    <w:rsid w:val="004B2611"/>
    <w:rsid w:val="004B2847"/>
    <w:rsid w:val="004B2BAA"/>
    <w:rsid w:val="004B2D24"/>
    <w:rsid w:val="004B2DA0"/>
    <w:rsid w:val="004B3031"/>
    <w:rsid w:val="004B3F29"/>
    <w:rsid w:val="004B4F68"/>
    <w:rsid w:val="004B5765"/>
    <w:rsid w:val="004B5B15"/>
    <w:rsid w:val="004B5D42"/>
    <w:rsid w:val="004B5D4C"/>
    <w:rsid w:val="004B66B1"/>
    <w:rsid w:val="004B67C3"/>
    <w:rsid w:val="004B6805"/>
    <w:rsid w:val="004B6C23"/>
    <w:rsid w:val="004B6CBC"/>
    <w:rsid w:val="004B70DA"/>
    <w:rsid w:val="004B75FF"/>
    <w:rsid w:val="004C0610"/>
    <w:rsid w:val="004C0E5C"/>
    <w:rsid w:val="004C1657"/>
    <w:rsid w:val="004C21AE"/>
    <w:rsid w:val="004C2B37"/>
    <w:rsid w:val="004C3C91"/>
    <w:rsid w:val="004C4146"/>
    <w:rsid w:val="004C5743"/>
    <w:rsid w:val="004C5C1E"/>
    <w:rsid w:val="004C6685"/>
    <w:rsid w:val="004C6969"/>
    <w:rsid w:val="004C6B08"/>
    <w:rsid w:val="004C7175"/>
    <w:rsid w:val="004C7B15"/>
    <w:rsid w:val="004C7D80"/>
    <w:rsid w:val="004D0095"/>
    <w:rsid w:val="004D13E1"/>
    <w:rsid w:val="004D1F78"/>
    <w:rsid w:val="004D26BE"/>
    <w:rsid w:val="004D31B3"/>
    <w:rsid w:val="004D321F"/>
    <w:rsid w:val="004D3D33"/>
    <w:rsid w:val="004D4788"/>
    <w:rsid w:val="004D4CCF"/>
    <w:rsid w:val="004D5FDF"/>
    <w:rsid w:val="004D608C"/>
    <w:rsid w:val="004D6ED3"/>
    <w:rsid w:val="004E05CA"/>
    <w:rsid w:val="004E0B7A"/>
    <w:rsid w:val="004E0D75"/>
    <w:rsid w:val="004E0F83"/>
    <w:rsid w:val="004E173B"/>
    <w:rsid w:val="004E18E7"/>
    <w:rsid w:val="004E1C11"/>
    <w:rsid w:val="004E1C6C"/>
    <w:rsid w:val="004E2548"/>
    <w:rsid w:val="004E2A58"/>
    <w:rsid w:val="004E3279"/>
    <w:rsid w:val="004E4458"/>
    <w:rsid w:val="004E4F01"/>
    <w:rsid w:val="004E5622"/>
    <w:rsid w:val="004E56E3"/>
    <w:rsid w:val="004E59C5"/>
    <w:rsid w:val="004E6FF9"/>
    <w:rsid w:val="004E715E"/>
    <w:rsid w:val="004E7507"/>
    <w:rsid w:val="004E7EE9"/>
    <w:rsid w:val="004F01AE"/>
    <w:rsid w:val="004F03E7"/>
    <w:rsid w:val="004F050E"/>
    <w:rsid w:val="004F1E72"/>
    <w:rsid w:val="004F23BE"/>
    <w:rsid w:val="004F4042"/>
    <w:rsid w:val="004F4251"/>
    <w:rsid w:val="004F466E"/>
    <w:rsid w:val="004F508E"/>
    <w:rsid w:val="004F513C"/>
    <w:rsid w:val="004F53E8"/>
    <w:rsid w:val="004F5523"/>
    <w:rsid w:val="004F6E73"/>
    <w:rsid w:val="004F764D"/>
    <w:rsid w:val="004F7889"/>
    <w:rsid w:val="00500EDA"/>
    <w:rsid w:val="005010E3"/>
    <w:rsid w:val="005011A0"/>
    <w:rsid w:val="005013E8"/>
    <w:rsid w:val="00501A82"/>
    <w:rsid w:val="00502E8F"/>
    <w:rsid w:val="00503951"/>
    <w:rsid w:val="0050436B"/>
    <w:rsid w:val="00504A95"/>
    <w:rsid w:val="00505849"/>
    <w:rsid w:val="00505E9E"/>
    <w:rsid w:val="005069E4"/>
    <w:rsid w:val="00506EEF"/>
    <w:rsid w:val="00507A8C"/>
    <w:rsid w:val="00507D1C"/>
    <w:rsid w:val="00507E49"/>
    <w:rsid w:val="00510508"/>
    <w:rsid w:val="00510605"/>
    <w:rsid w:val="00510857"/>
    <w:rsid w:val="0051090B"/>
    <w:rsid w:val="00510EA5"/>
    <w:rsid w:val="00511DAF"/>
    <w:rsid w:val="00512006"/>
    <w:rsid w:val="005121C2"/>
    <w:rsid w:val="00512679"/>
    <w:rsid w:val="005128AA"/>
    <w:rsid w:val="005129C2"/>
    <w:rsid w:val="00513896"/>
    <w:rsid w:val="005145F7"/>
    <w:rsid w:val="0051464D"/>
    <w:rsid w:val="005155EC"/>
    <w:rsid w:val="00515673"/>
    <w:rsid w:val="00516587"/>
    <w:rsid w:val="0051696D"/>
    <w:rsid w:val="00517960"/>
    <w:rsid w:val="00517A33"/>
    <w:rsid w:val="00517C41"/>
    <w:rsid w:val="00520762"/>
    <w:rsid w:val="00520944"/>
    <w:rsid w:val="00521016"/>
    <w:rsid w:val="005218BC"/>
    <w:rsid w:val="005227B3"/>
    <w:rsid w:val="00522DF7"/>
    <w:rsid w:val="0052326F"/>
    <w:rsid w:val="00523F2D"/>
    <w:rsid w:val="00524B76"/>
    <w:rsid w:val="0052509C"/>
    <w:rsid w:val="00525CE2"/>
    <w:rsid w:val="005271E3"/>
    <w:rsid w:val="005272F3"/>
    <w:rsid w:val="0052746F"/>
    <w:rsid w:val="0052795A"/>
    <w:rsid w:val="00527C22"/>
    <w:rsid w:val="00530749"/>
    <w:rsid w:val="005312D9"/>
    <w:rsid w:val="0053134E"/>
    <w:rsid w:val="00532D86"/>
    <w:rsid w:val="00532FF7"/>
    <w:rsid w:val="00533345"/>
    <w:rsid w:val="005336F1"/>
    <w:rsid w:val="0053370D"/>
    <w:rsid w:val="005344A5"/>
    <w:rsid w:val="00534980"/>
    <w:rsid w:val="00535068"/>
    <w:rsid w:val="0053557F"/>
    <w:rsid w:val="005359B9"/>
    <w:rsid w:val="00536010"/>
    <w:rsid w:val="0053680B"/>
    <w:rsid w:val="00536A76"/>
    <w:rsid w:val="00537146"/>
    <w:rsid w:val="00537745"/>
    <w:rsid w:val="005401C7"/>
    <w:rsid w:val="00540741"/>
    <w:rsid w:val="00540D51"/>
    <w:rsid w:val="00541A74"/>
    <w:rsid w:val="0054380C"/>
    <w:rsid w:val="00543BA1"/>
    <w:rsid w:val="00543E0B"/>
    <w:rsid w:val="00544A10"/>
    <w:rsid w:val="00544FA4"/>
    <w:rsid w:val="00545779"/>
    <w:rsid w:val="005459D7"/>
    <w:rsid w:val="00545DAE"/>
    <w:rsid w:val="00545F8F"/>
    <w:rsid w:val="0054692F"/>
    <w:rsid w:val="00546C8E"/>
    <w:rsid w:val="00547102"/>
    <w:rsid w:val="005501CD"/>
    <w:rsid w:val="005512FB"/>
    <w:rsid w:val="005520AF"/>
    <w:rsid w:val="00552B06"/>
    <w:rsid w:val="00552B1C"/>
    <w:rsid w:val="005537C0"/>
    <w:rsid w:val="005538F6"/>
    <w:rsid w:val="00553B81"/>
    <w:rsid w:val="00553E71"/>
    <w:rsid w:val="00554FED"/>
    <w:rsid w:val="00555AD9"/>
    <w:rsid w:val="005563ED"/>
    <w:rsid w:val="005568E0"/>
    <w:rsid w:val="00557CD5"/>
    <w:rsid w:val="00560F6C"/>
    <w:rsid w:val="00561539"/>
    <w:rsid w:val="005615F3"/>
    <w:rsid w:val="0056207F"/>
    <w:rsid w:val="00562213"/>
    <w:rsid w:val="00562696"/>
    <w:rsid w:val="00562AFD"/>
    <w:rsid w:val="00562B18"/>
    <w:rsid w:val="00562C39"/>
    <w:rsid w:val="00562CBD"/>
    <w:rsid w:val="005632F3"/>
    <w:rsid w:val="0056361C"/>
    <w:rsid w:val="00563F46"/>
    <w:rsid w:val="00564598"/>
    <w:rsid w:val="00564A9D"/>
    <w:rsid w:val="00564E2C"/>
    <w:rsid w:val="00565964"/>
    <w:rsid w:val="00565F26"/>
    <w:rsid w:val="005663F6"/>
    <w:rsid w:val="0056658A"/>
    <w:rsid w:val="005665B0"/>
    <w:rsid w:val="0056661C"/>
    <w:rsid w:val="00567927"/>
    <w:rsid w:val="00567F60"/>
    <w:rsid w:val="00570159"/>
    <w:rsid w:val="00570372"/>
    <w:rsid w:val="005705DA"/>
    <w:rsid w:val="00571FC5"/>
    <w:rsid w:val="005723A4"/>
    <w:rsid w:val="00572607"/>
    <w:rsid w:val="00572A55"/>
    <w:rsid w:val="00572BC4"/>
    <w:rsid w:val="00572BE8"/>
    <w:rsid w:val="0057332A"/>
    <w:rsid w:val="0057439D"/>
    <w:rsid w:val="00576CB1"/>
    <w:rsid w:val="00577A31"/>
    <w:rsid w:val="00577A78"/>
    <w:rsid w:val="00577AC5"/>
    <w:rsid w:val="00580438"/>
    <w:rsid w:val="00581593"/>
    <w:rsid w:val="0058211D"/>
    <w:rsid w:val="0058256F"/>
    <w:rsid w:val="0058261D"/>
    <w:rsid w:val="0058465E"/>
    <w:rsid w:val="00584A3C"/>
    <w:rsid w:val="00584EDC"/>
    <w:rsid w:val="00585199"/>
    <w:rsid w:val="005868C4"/>
    <w:rsid w:val="0058718F"/>
    <w:rsid w:val="00587C17"/>
    <w:rsid w:val="00587D8B"/>
    <w:rsid w:val="0059024A"/>
    <w:rsid w:val="005908B6"/>
    <w:rsid w:val="00590EAA"/>
    <w:rsid w:val="00591799"/>
    <w:rsid w:val="005929D2"/>
    <w:rsid w:val="0059351D"/>
    <w:rsid w:val="00593802"/>
    <w:rsid w:val="0059392E"/>
    <w:rsid w:val="00593E3D"/>
    <w:rsid w:val="005945D9"/>
    <w:rsid w:val="005946E9"/>
    <w:rsid w:val="00597718"/>
    <w:rsid w:val="005A12F0"/>
    <w:rsid w:val="005A13AB"/>
    <w:rsid w:val="005A1B39"/>
    <w:rsid w:val="005A2BD6"/>
    <w:rsid w:val="005A31EA"/>
    <w:rsid w:val="005A40B5"/>
    <w:rsid w:val="005A549A"/>
    <w:rsid w:val="005A5D7F"/>
    <w:rsid w:val="005B0957"/>
    <w:rsid w:val="005B0A9A"/>
    <w:rsid w:val="005B0D4E"/>
    <w:rsid w:val="005B1E07"/>
    <w:rsid w:val="005B24E2"/>
    <w:rsid w:val="005B2B68"/>
    <w:rsid w:val="005B2F18"/>
    <w:rsid w:val="005B3434"/>
    <w:rsid w:val="005B4310"/>
    <w:rsid w:val="005B49C4"/>
    <w:rsid w:val="005B4AB7"/>
    <w:rsid w:val="005B4B5B"/>
    <w:rsid w:val="005B578D"/>
    <w:rsid w:val="005B5B88"/>
    <w:rsid w:val="005B5BB9"/>
    <w:rsid w:val="005B5E93"/>
    <w:rsid w:val="005B7311"/>
    <w:rsid w:val="005B7EF8"/>
    <w:rsid w:val="005C04F2"/>
    <w:rsid w:val="005C1E68"/>
    <w:rsid w:val="005C27EA"/>
    <w:rsid w:val="005C39BE"/>
    <w:rsid w:val="005C42D6"/>
    <w:rsid w:val="005C497A"/>
    <w:rsid w:val="005C4ACD"/>
    <w:rsid w:val="005C4CC4"/>
    <w:rsid w:val="005C4F94"/>
    <w:rsid w:val="005C51E9"/>
    <w:rsid w:val="005C5220"/>
    <w:rsid w:val="005C565B"/>
    <w:rsid w:val="005C5743"/>
    <w:rsid w:val="005C5E80"/>
    <w:rsid w:val="005C6603"/>
    <w:rsid w:val="005C6A68"/>
    <w:rsid w:val="005C72F1"/>
    <w:rsid w:val="005C77C0"/>
    <w:rsid w:val="005D0547"/>
    <w:rsid w:val="005D0827"/>
    <w:rsid w:val="005D0A61"/>
    <w:rsid w:val="005D11F6"/>
    <w:rsid w:val="005D139F"/>
    <w:rsid w:val="005D13D2"/>
    <w:rsid w:val="005D156C"/>
    <w:rsid w:val="005D15E0"/>
    <w:rsid w:val="005D16FF"/>
    <w:rsid w:val="005D1B3A"/>
    <w:rsid w:val="005D1B98"/>
    <w:rsid w:val="005D2E69"/>
    <w:rsid w:val="005D3156"/>
    <w:rsid w:val="005D33DB"/>
    <w:rsid w:val="005D3446"/>
    <w:rsid w:val="005D3700"/>
    <w:rsid w:val="005D379B"/>
    <w:rsid w:val="005D37B0"/>
    <w:rsid w:val="005D37D1"/>
    <w:rsid w:val="005D3D7D"/>
    <w:rsid w:val="005D4217"/>
    <w:rsid w:val="005D4AC7"/>
    <w:rsid w:val="005D5922"/>
    <w:rsid w:val="005D607F"/>
    <w:rsid w:val="005D676F"/>
    <w:rsid w:val="005D735A"/>
    <w:rsid w:val="005E0BA6"/>
    <w:rsid w:val="005E0BB4"/>
    <w:rsid w:val="005E0FF4"/>
    <w:rsid w:val="005E103C"/>
    <w:rsid w:val="005E17DB"/>
    <w:rsid w:val="005E181D"/>
    <w:rsid w:val="005E192A"/>
    <w:rsid w:val="005E1A3D"/>
    <w:rsid w:val="005E2098"/>
    <w:rsid w:val="005E227C"/>
    <w:rsid w:val="005E2FB5"/>
    <w:rsid w:val="005E3929"/>
    <w:rsid w:val="005E4BCE"/>
    <w:rsid w:val="005E5403"/>
    <w:rsid w:val="005E5518"/>
    <w:rsid w:val="005E5DED"/>
    <w:rsid w:val="005E66BA"/>
    <w:rsid w:val="005E7990"/>
    <w:rsid w:val="005F04C2"/>
    <w:rsid w:val="005F0872"/>
    <w:rsid w:val="005F0C8C"/>
    <w:rsid w:val="005F1296"/>
    <w:rsid w:val="005F1968"/>
    <w:rsid w:val="005F204D"/>
    <w:rsid w:val="005F2304"/>
    <w:rsid w:val="005F46B5"/>
    <w:rsid w:val="005F48FE"/>
    <w:rsid w:val="005F4D6E"/>
    <w:rsid w:val="005F5121"/>
    <w:rsid w:val="005F544B"/>
    <w:rsid w:val="005F600A"/>
    <w:rsid w:val="005F706C"/>
    <w:rsid w:val="005F7B8F"/>
    <w:rsid w:val="005F7FF9"/>
    <w:rsid w:val="00600144"/>
    <w:rsid w:val="00600397"/>
    <w:rsid w:val="00601C0C"/>
    <w:rsid w:val="00601F90"/>
    <w:rsid w:val="00602005"/>
    <w:rsid w:val="00602C5E"/>
    <w:rsid w:val="00603444"/>
    <w:rsid w:val="00603500"/>
    <w:rsid w:val="0060378C"/>
    <w:rsid w:val="00603D1B"/>
    <w:rsid w:val="00604023"/>
    <w:rsid w:val="00605346"/>
    <w:rsid w:val="00605AAB"/>
    <w:rsid w:val="00605E57"/>
    <w:rsid w:val="0060609A"/>
    <w:rsid w:val="006065A3"/>
    <w:rsid w:val="00606774"/>
    <w:rsid w:val="00606841"/>
    <w:rsid w:val="00606B63"/>
    <w:rsid w:val="00607519"/>
    <w:rsid w:val="00607BE6"/>
    <w:rsid w:val="006102FE"/>
    <w:rsid w:val="00610E59"/>
    <w:rsid w:val="00611495"/>
    <w:rsid w:val="006122A9"/>
    <w:rsid w:val="006128DA"/>
    <w:rsid w:val="006128EF"/>
    <w:rsid w:val="00612C16"/>
    <w:rsid w:val="00613511"/>
    <w:rsid w:val="006139F6"/>
    <w:rsid w:val="00613B51"/>
    <w:rsid w:val="00613DEA"/>
    <w:rsid w:val="00614C74"/>
    <w:rsid w:val="00614F24"/>
    <w:rsid w:val="00615157"/>
    <w:rsid w:val="00615867"/>
    <w:rsid w:val="00615DD3"/>
    <w:rsid w:val="006165B5"/>
    <w:rsid w:val="00616F6E"/>
    <w:rsid w:val="0061708F"/>
    <w:rsid w:val="006172A7"/>
    <w:rsid w:val="00617DCA"/>
    <w:rsid w:val="00620319"/>
    <w:rsid w:val="006208AE"/>
    <w:rsid w:val="006215BC"/>
    <w:rsid w:val="006215E7"/>
    <w:rsid w:val="0062166F"/>
    <w:rsid w:val="00622336"/>
    <w:rsid w:val="006226AF"/>
    <w:rsid w:val="00622812"/>
    <w:rsid w:val="00623668"/>
    <w:rsid w:val="006240E4"/>
    <w:rsid w:val="006245A8"/>
    <w:rsid w:val="00624617"/>
    <w:rsid w:val="00624F16"/>
    <w:rsid w:val="00625BBB"/>
    <w:rsid w:val="006266DA"/>
    <w:rsid w:val="00627830"/>
    <w:rsid w:val="00630796"/>
    <w:rsid w:val="00630BF4"/>
    <w:rsid w:val="0063117E"/>
    <w:rsid w:val="0063123E"/>
    <w:rsid w:val="0063138A"/>
    <w:rsid w:val="00631CF1"/>
    <w:rsid w:val="00632149"/>
    <w:rsid w:val="00633EC3"/>
    <w:rsid w:val="00635953"/>
    <w:rsid w:val="00636730"/>
    <w:rsid w:val="00636926"/>
    <w:rsid w:val="00636C9D"/>
    <w:rsid w:val="00636CBF"/>
    <w:rsid w:val="00637045"/>
    <w:rsid w:val="0063743B"/>
    <w:rsid w:val="006374C5"/>
    <w:rsid w:val="00640788"/>
    <w:rsid w:val="00642146"/>
    <w:rsid w:val="00642CCA"/>
    <w:rsid w:val="00644495"/>
    <w:rsid w:val="006447F1"/>
    <w:rsid w:val="00645D54"/>
    <w:rsid w:val="00645F9E"/>
    <w:rsid w:val="00646957"/>
    <w:rsid w:val="00650F08"/>
    <w:rsid w:val="006514D2"/>
    <w:rsid w:val="0065192D"/>
    <w:rsid w:val="00652E5C"/>
    <w:rsid w:val="00652EA1"/>
    <w:rsid w:val="00653050"/>
    <w:rsid w:val="00653A9B"/>
    <w:rsid w:val="00653AF2"/>
    <w:rsid w:val="00653B18"/>
    <w:rsid w:val="00653ECF"/>
    <w:rsid w:val="00654BC0"/>
    <w:rsid w:val="00654C5C"/>
    <w:rsid w:val="0065614F"/>
    <w:rsid w:val="0065620E"/>
    <w:rsid w:val="00656411"/>
    <w:rsid w:val="00656DBA"/>
    <w:rsid w:val="00656F67"/>
    <w:rsid w:val="006575F9"/>
    <w:rsid w:val="006600DF"/>
    <w:rsid w:val="00660833"/>
    <w:rsid w:val="00661E9B"/>
    <w:rsid w:val="00664AC8"/>
    <w:rsid w:val="00665775"/>
    <w:rsid w:val="0066639E"/>
    <w:rsid w:val="00666669"/>
    <w:rsid w:val="006669E6"/>
    <w:rsid w:val="00667972"/>
    <w:rsid w:val="00667B9F"/>
    <w:rsid w:val="00673143"/>
    <w:rsid w:val="00673DF6"/>
    <w:rsid w:val="006742F9"/>
    <w:rsid w:val="006747CC"/>
    <w:rsid w:val="00674979"/>
    <w:rsid w:val="00674DD4"/>
    <w:rsid w:val="0067513E"/>
    <w:rsid w:val="00675FB4"/>
    <w:rsid w:val="00676EFE"/>
    <w:rsid w:val="0067720B"/>
    <w:rsid w:val="00677E52"/>
    <w:rsid w:val="00680153"/>
    <w:rsid w:val="00680DED"/>
    <w:rsid w:val="0068159E"/>
    <w:rsid w:val="0068187F"/>
    <w:rsid w:val="00681C37"/>
    <w:rsid w:val="00681C5B"/>
    <w:rsid w:val="00681EB6"/>
    <w:rsid w:val="006822E6"/>
    <w:rsid w:val="00682614"/>
    <w:rsid w:val="006827F1"/>
    <w:rsid w:val="006832A5"/>
    <w:rsid w:val="00683407"/>
    <w:rsid w:val="006838F7"/>
    <w:rsid w:val="00683B3B"/>
    <w:rsid w:val="006848A5"/>
    <w:rsid w:val="00684C34"/>
    <w:rsid w:val="00684F22"/>
    <w:rsid w:val="006854F9"/>
    <w:rsid w:val="006857E5"/>
    <w:rsid w:val="00686238"/>
    <w:rsid w:val="00686779"/>
    <w:rsid w:val="006867C1"/>
    <w:rsid w:val="00687DBA"/>
    <w:rsid w:val="006915F5"/>
    <w:rsid w:val="00691AE2"/>
    <w:rsid w:val="006927FA"/>
    <w:rsid w:val="0069329B"/>
    <w:rsid w:val="006939D6"/>
    <w:rsid w:val="006944BD"/>
    <w:rsid w:val="00694BA3"/>
    <w:rsid w:val="0069708A"/>
    <w:rsid w:val="006975A3"/>
    <w:rsid w:val="00697676"/>
    <w:rsid w:val="00697BDF"/>
    <w:rsid w:val="00697EB6"/>
    <w:rsid w:val="006A14FC"/>
    <w:rsid w:val="006A1FF4"/>
    <w:rsid w:val="006A218D"/>
    <w:rsid w:val="006A2E52"/>
    <w:rsid w:val="006A36A0"/>
    <w:rsid w:val="006A36FF"/>
    <w:rsid w:val="006A3E00"/>
    <w:rsid w:val="006A4EFE"/>
    <w:rsid w:val="006A7599"/>
    <w:rsid w:val="006A76B1"/>
    <w:rsid w:val="006A76D5"/>
    <w:rsid w:val="006B039A"/>
    <w:rsid w:val="006B083D"/>
    <w:rsid w:val="006B0A20"/>
    <w:rsid w:val="006B0C08"/>
    <w:rsid w:val="006B11B1"/>
    <w:rsid w:val="006B1944"/>
    <w:rsid w:val="006B2675"/>
    <w:rsid w:val="006B3550"/>
    <w:rsid w:val="006B3A9E"/>
    <w:rsid w:val="006B3F50"/>
    <w:rsid w:val="006B42E4"/>
    <w:rsid w:val="006B4CD0"/>
    <w:rsid w:val="006B4EB9"/>
    <w:rsid w:val="006B5253"/>
    <w:rsid w:val="006B5A49"/>
    <w:rsid w:val="006B69D1"/>
    <w:rsid w:val="006B6DF3"/>
    <w:rsid w:val="006B74AB"/>
    <w:rsid w:val="006B7EEA"/>
    <w:rsid w:val="006C01D0"/>
    <w:rsid w:val="006C04B0"/>
    <w:rsid w:val="006C0F1A"/>
    <w:rsid w:val="006C2000"/>
    <w:rsid w:val="006C33B8"/>
    <w:rsid w:val="006C3ED4"/>
    <w:rsid w:val="006C441C"/>
    <w:rsid w:val="006C4EB2"/>
    <w:rsid w:val="006C555A"/>
    <w:rsid w:val="006C5D4C"/>
    <w:rsid w:val="006C69DE"/>
    <w:rsid w:val="006D0251"/>
    <w:rsid w:val="006D0550"/>
    <w:rsid w:val="006D085B"/>
    <w:rsid w:val="006D0BFC"/>
    <w:rsid w:val="006D0C45"/>
    <w:rsid w:val="006D0D54"/>
    <w:rsid w:val="006D0DA4"/>
    <w:rsid w:val="006D1274"/>
    <w:rsid w:val="006D14AA"/>
    <w:rsid w:val="006D187F"/>
    <w:rsid w:val="006D1948"/>
    <w:rsid w:val="006D1A69"/>
    <w:rsid w:val="006D1CB0"/>
    <w:rsid w:val="006D1E75"/>
    <w:rsid w:val="006D1FCF"/>
    <w:rsid w:val="006D24D1"/>
    <w:rsid w:val="006D2E1C"/>
    <w:rsid w:val="006D30C6"/>
    <w:rsid w:val="006D31B9"/>
    <w:rsid w:val="006D3955"/>
    <w:rsid w:val="006D4226"/>
    <w:rsid w:val="006D44B2"/>
    <w:rsid w:val="006D4CED"/>
    <w:rsid w:val="006D4F6B"/>
    <w:rsid w:val="006D51D8"/>
    <w:rsid w:val="006D52A5"/>
    <w:rsid w:val="006D549B"/>
    <w:rsid w:val="006D5DF3"/>
    <w:rsid w:val="006D6304"/>
    <w:rsid w:val="006D63FD"/>
    <w:rsid w:val="006D695F"/>
    <w:rsid w:val="006D6990"/>
    <w:rsid w:val="006D71CE"/>
    <w:rsid w:val="006D79EE"/>
    <w:rsid w:val="006D7B7A"/>
    <w:rsid w:val="006D7C4D"/>
    <w:rsid w:val="006E078E"/>
    <w:rsid w:val="006E0EC1"/>
    <w:rsid w:val="006E1D98"/>
    <w:rsid w:val="006E205C"/>
    <w:rsid w:val="006E2788"/>
    <w:rsid w:val="006E2AAE"/>
    <w:rsid w:val="006E2E95"/>
    <w:rsid w:val="006E3193"/>
    <w:rsid w:val="006E3836"/>
    <w:rsid w:val="006E3AE0"/>
    <w:rsid w:val="006E4933"/>
    <w:rsid w:val="006E558C"/>
    <w:rsid w:val="006E649A"/>
    <w:rsid w:val="006E66B6"/>
    <w:rsid w:val="006E7961"/>
    <w:rsid w:val="006F019C"/>
    <w:rsid w:val="006F0242"/>
    <w:rsid w:val="006F0E9B"/>
    <w:rsid w:val="006F11D2"/>
    <w:rsid w:val="006F147B"/>
    <w:rsid w:val="006F19AF"/>
    <w:rsid w:val="006F1A69"/>
    <w:rsid w:val="006F2830"/>
    <w:rsid w:val="006F2C44"/>
    <w:rsid w:val="006F2E1E"/>
    <w:rsid w:val="006F3928"/>
    <w:rsid w:val="006F3A53"/>
    <w:rsid w:val="006F465E"/>
    <w:rsid w:val="006F4D6C"/>
    <w:rsid w:val="006F5021"/>
    <w:rsid w:val="006F5323"/>
    <w:rsid w:val="006F6364"/>
    <w:rsid w:val="006F6ED9"/>
    <w:rsid w:val="007013A0"/>
    <w:rsid w:val="00701638"/>
    <w:rsid w:val="0070172C"/>
    <w:rsid w:val="00701A41"/>
    <w:rsid w:val="00702BBA"/>
    <w:rsid w:val="00702CF2"/>
    <w:rsid w:val="00703106"/>
    <w:rsid w:val="0070322A"/>
    <w:rsid w:val="00703667"/>
    <w:rsid w:val="00703838"/>
    <w:rsid w:val="00703A96"/>
    <w:rsid w:val="00704B38"/>
    <w:rsid w:val="00704BEB"/>
    <w:rsid w:val="00704D78"/>
    <w:rsid w:val="00704D9C"/>
    <w:rsid w:val="00707208"/>
    <w:rsid w:val="007072D3"/>
    <w:rsid w:val="00707E07"/>
    <w:rsid w:val="007108A7"/>
    <w:rsid w:val="00710F16"/>
    <w:rsid w:val="007110AC"/>
    <w:rsid w:val="00711703"/>
    <w:rsid w:val="00712008"/>
    <w:rsid w:val="007120EA"/>
    <w:rsid w:val="00712BCB"/>
    <w:rsid w:val="00713C8F"/>
    <w:rsid w:val="007143B3"/>
    <w:rsid w:val="00714A4D"/>
    <w:rsid w:val="00715543"/>
    <w:rsid w:val="00715F72"/>
    <w:rsid w:val="00716AC7"/>
    <w:rsid w:val="00717518"/>
    <w:rsid w:val="007205D9"/>
    <w:rsid w:val="0072074A"/>
    <w:rsid w:val="0072085A"/>
    <w:rsid w:val="0072106D"/>
    <w:rsid w:val="00721286"/>
    <w:rsid w:val="00721655"/>
    <w:rsid w:val="00721956"/>
    <w:rsid w:val="0072206E"/>
    <w:rsid w:val="007221D6"/>
    <w:rsid w:val="007223CE"/>
    <w:rsid w:val="007237E4"/>
    <w:rsid w:val="007242ED"/>
    <w:rsid w:val="00724B2B"/>
    <w:rsid w:val="007258FC"/>
    <w:rsid w:val="00725B89"/>
    <w:rsid w:val="00725C1A"/>
    <w:rsid w:val="00726A69"/>
    <w:rsid w:val="00726FE6"/>
    <w:rsid w:val="00727384"/>
    <w:rsid w:val="00727696"/>
    <w:rsid w:val="0072769E"/>
    <w:rsid w:val="00727824"/>
    <w:rsid w:val="00730818"/>
    <w:rsid w:val="00730E3B"/>
    <w:rsid w:val="00731F4D"/>
    <w:rsid w:val="00732EAE"/>
    <w:rsid w:val="00733991"/>
    <w:rsid w:val="00733C8D"/>
    <w:rsid w:val="00733DE3"/>
    <w:rsid w:val="007344B7"/>
    <w:rsid w:val="007347F0"/>
    <w:rsid w:val="00734929"/>
    <w:rsid w:val="00734E69"/>
    <w:rsid w:val="00735182"/>
    <w:rsid w:val="0073525C"/>
    <w:rsid w:val="00735372"/>
    <w:rsid w:val="00735916"/>
    <w:rsid w:val="007359D1"/>
    <w:rsid w:val="007365BD"/>
    <w:rsid w:val="007367CD"/>
    <w:rsid w:val="007376BE"/>
    <w:rsid w:val="00737B2B"/>
    <w:rsid w:val="007413B9"/>
    <w:rsid w:val="0074156A"/>
    <w:rsid w:val="00741D73"/>
    <w:rsid w:val="00741E04"/>
    <w:rsid w:val="00742025"/>
    <w:rsid w:val="007421F4"/>
    <w:rsid w:val="00742663"/>
    <w:rsid w:val="007439B1"/>
    <w:rsid w:val="007446C2"/>
    <w:rsid w:val="00744856"/>
    <w:rsid w:val="00744C21"/>
    <w:rsid w:val="00744D98"/>
    <w:rsid w:val="0074544E"/>
    <w:rsid w:val="00745781"/>
    <w:rsid w:val="00746537"/>
    <w:rsid w:val="0074674D"/>
    <w:rsid w:val="00747A03"/>
    <w:rsid w:val="0075052E"/>
    <w:rsid w:val="00750840"/>
    <w:rsid w:val="00751134"/>
    <w:rsid w:val="00751C28"/>
    <w:rsid w:val="007522B9"/>
    <w:rsid w:val="007526FB"/>
    <w:rsid w:val="0075270E"/>
    <w:rsid w:val="00752E10"/>
    <w:rsid w:val="00754926"/>
    <w:rsid w:val="00755C62"/>
    <w:rsid w:val="00755D0B"/>
    <w:rsid w:val="007560F2"/>
    <w:rsid w:val="00756F44"/>
    <w:rsid w:val="007572BB"/>
    <w:rsid w:val="00757D7E"/>
    <w:rsid w:val="00760353"/>
    <w:rsid w:val="00760AF8"/>
    <w:rsid w:val="00760F35"/>
    <w:rsid w:val="007615DA"/>
    <w:rsid w:val="00761BAB"/>
    <w:rsid w:val="007621F2"/>
    <w:rsid w:val="00763EC0"/>
    <w:rsid w:val="007640FC"/>
    <w:rsid w:val="007643AD"/>
    <w:rsid w:val="0076457A"/>
    <w:rsid w:val="00764863"/>
    <w:rsid w:val="00764ACC"/>
    <w:rsid w:val="007651FF"/>
    <w:rsid w:val="00765AF5"/>
    <w:rsid w:val="007673E7"/>
    <w:rsid w:val="00767510"/>
    <w:rsid w:val="00767743"/>
    <w:rsid w:val="00770372"/>
    <w:rsid w:val="0077073B"/>
    <w:rsid w:val="00770AEA"/>
    <w:rsid w:val="0077134B"/>
    <w:rsid w:val="00771AA5"/>
    <w:rsid w:val="0077276D"/>
    <w:rsid w:val="00772B5A"/>
    <w:rsid w:val="00773933"/>
    <w:rsid w:val="00773FE3"/>
    <w:rsid w:val="007741EF"/>
    <w:rsid w:val="00774A4E"/>
    <w:rsid w:val="00775C74"/>
    <w:rsid w:val="00776185"/>
    <w:rsid w:val="00777E6C"/>
    <w:rsid w:val="00777E7D"/>
    <w:rsid w:val="00780571"/>
    <w:rsid w:val="00780692"/>
    <w:rsid w:val="00782481"/>
    <w:rsid w:val="00782AE0"/>
    <w:rsid w:val="0078359D"/>
    <w:rsid w:val="007838FE"/>
    <w:rsid w:val="00784236"/>
    <w:rsid w:val="00784502"/>
    <w:rsid w:val="00784AA1"/>
    <w:rsid w:val="00785571"/>
    <w:rsid w:val="007859ED"/>
    <w:rsid w:val="00785AFD"/>
    <w:rsid w:val="00785EE9"/>
    <w:rsid w:val="00786160"/>
    <w:rsid w:val="00786360"/>
    <w:rsid w:val="007866FE"/>
    <w:rsid w:val="007869A6"/>
    <w:rsid w:val="007870F5"/>
    <w:rsid w:val="00787132"/>
    <w:rsid w:val="00790982"/>
    <w:rsid w:val="0079178F"/>
    <w:rsid w:val="0079215A"/>
    <w:rsid w:val="007921A2"/>
    <w:rsid w:val="00792A06"/>
    <w:rsid w:val="00792F07"/>
    <w:rsid w:val="0079302C"/>
    <w:rsid w:val="0079382B"/>
    <w:rsid w:val="007942AB"/>
    <w:rsid w:val="0079479D"/>
    <w:rsid w:val="00795CF6"/>
    <w:rsid w:val="007964D0"/>
    <w:rsid w:val="0079690A"/>
    <w:rsid w:val="007972FA"/>
    <w:rsid w:val="00797343"/>
    <w:rsid w:val="0079786D"/>
    <w:rsid w:val="007A031D"/>
    <w:rsid w:val="007A0601"/>
    <w:rsid w:val="007A0781"/>
    <w:rsid w:val="007A11A0"/>
    <w:rsid w:val="007A14E9"/>
    <w:rsid w:val="007A157F"/>
    <w:rsid w:val="007A2B9B"/>
    <w:rsid w:val="007A2E8F"/>
    <w:rsid w:val="007A40D6"/>
    <w:rsid w:val="007A4958"/>
    <w:rsid w:val="007A5460"/>
    <w:rsid w:val="007A686B"/>
    <w:rsid w:val="007A7450"/>
    <w:rsid w:val="007A750C"/>
    <w:rsid w:val="007A795E"/>
    <w:rsid w:val="007A7FAB"/>
    <w:rsid w:val="007B01A7"/>
    <w:rsid w:val="007B09BC"/>
    <w:rsid w:val="007B0B10"/>
    <w:rsid w:val="007B0F5F"/>
    <w:rsid w:val="007B1B06"/>
    <w:rsid w:val="007B2AD1"/>
    <w:rsid w:val="007B2C2D"/>
    <w:rsid w:val="007B3267"/>
    <w:rsid w:val="007B3495"/>
    <w:rsid w:val="007B531D"/>
    <w:rsid w:val="007B5806"/>
    <w:rsid w:val="007B6AAD"/>
    <w:rsid w:val="007B6ACA"/>
    <w:rsid w:val="007B6D54"/>
    <w:rsid w:val="007B7617"/>
    <w:rsid w:val="007B7DB2"/>
    <w:rsid w:val="007B7E5E"/>
    <w:rsid w:val="007C00C3"/>
    <w:rsid w:val="007C0593"/>
    <w:rsid w:val="007C1B6E"/>
    <w:rsid w:val="007C1DB7"/>
    <w:rsid w:val="007C29E2"/>
    <w:rsid w:val="007C2A3F"/>
    <w:rsid w:val="007C3B46"/>
    <w:rsid w:val="007C3D52"/>
    <w:rsid w:val="007C4714"/>
    <w:rsid w:val="007C4B43"/>
    <w:rsid w:val="007C50B8"/>
    <w:rsid w:val="007C52F1"/>
    <w:rsid w:val="007C5BF7"/>
    <w:rsid w:val="007C5DF0"/>
    <w:rsid w:val="007C5E83"/>
    <w:rsid w:val="007C652B"/>
    <w:rsid w:val="007C661C"/>
    <w:rsid w:val="007C6B1B"/>
    <w:rsid w:val="007C6D9B"/>
    <w:rsid w:val="007C70E4"/>
    <w:rsid w:val="007C7303"/>
    <w:rsid w:val="007C748F"/>
    <w:rsid w:val="007C74D2"/>
    <w:rsid w:val="007C7D11"/>
    <w:rsid w:val="007D003B"/>
    <w:rsid w:val="007D035D"/>
    <w:rsid w:val="007D06C1"/>
    <w:rsid w:val="007D0C3B"/>
    <w:rsid w:val="007D0DC2"/>
    <w:rsid w:val="007D1558"/>
    <w:rsid w:val="007D15DF"/>
    <w:rsid w:val="007D21DB"/>
    <w:rsid w:val="007D243E"/>
    <w:rsid w:val="007D2919"/>
    <w:rsid w:val="007D29B8"/>
    <w:rsid w:val="007D2ECC"/>
    <w:rsid w:val="007D432B"/>
    <w:rsid w:val="007D5374"/>
    <w:rsid w:val="007D544D"/>
    <w:rsid w:val="007D55B4"/>
    <w:rsid w:val="007D5C47"/>
    <w:rsid w:val="007D5C4C"/>
    <w:rsid w:val="007D5CA0"/>
    <w:rsid w:val="007D5CB7"/>
    <w:rsid w:val="007D5DBE"/>
    <w:rsid w:val="007D5FA9"/>
    <w:rsid w:val="007D6681"/>
    <w:rsid w:val="007D6730"/>
    <w:rsid w:val="007D79DD"/>
    <w:rsid w:val="007E0214"/>
    <w:rsid w:val="007E2322"/>
    <w:rsid w:val="007E2822"/>
    <w:rsid w:val="007E2CB0"/>
    <w:rsid w:val="007E3670"/>
    <w:rsid w:val="007E386E"/>
    <w:rsid w:val="007E38A3"/>
    <w:rsid w:val="007E3DAB"/>
    <w:rsid w:val="007E478C"/>
    <w:rsid w:val="007E4EF2"/>
    <w:rsid w:val="007E5750"/>
    <w:rsid w:val="007E57E1"/>
    <w:rsid w:val="007E69C0"/>
    <w:rsid w:val="007E6AB0"/>
    <w:rsid w:val="007E7497"/>
    <w:rsid w:val="007E74EA"/>
    <w:rsid w:val="007E7D89"/>
    <w:rsid w:val="007F0184"/>
    <w:rsid w:val="007F02CF"/>
    <w:rsid w:val="007F059C"/>
    <w:rsid w:val="007F087A"/>
    <w:rsid w:val="007F1468"/>
    <w:rsid w:val="007F1587"/>
    <w:rsid w:val="007F2DD7"/>
    <w:rsid w:val="007F33A6"/>
    <w:rsid w:val="007F38B7"/>
    <w:rsid w:val="007F4C3D"/>
    <w:rsid w:val="007F4C5B"/>
    <w:rsid w:val="007F65BB"/>
    <w:rsid w:val="007F7199"/>
    <w:rsid w:val="007F78BD"/>
    <w:rsid w:val="007F7A81"/>
    <w:rsid w:val="0080017E"/>
    <w:rsid w:val="0080032F"/>
    <w:rsid w:val="0080057F"/>
    <w:rsid w:val="00800958"/>
    <w:rsid w:val="00801319"/>
    <w:rsid w:val="00802658"/>
    <w:rsid w:val="00804962"/>
    <w:rsid w:val="00805813"/>
    <w:rsid w:val="00805D99"/>
    <w:rsid w:val="008061D0"/>
    <w:rsid w:val="00806A39"/>
    <w:rsid w:val="00807650"/>
    <w:rsid w:val="00807810"/>
    <w:rsid w:val="00807935"/>
    <w:rsid w:val="00807C62"/>
    <w:rsid w:val="008100C4"/>
    <w:rsid w:val="008101E0"/>
    <w:rsid w:val="00810208"/>
    <w:rsid w:val="0081072B"/>
    <w:rsid w:val="0081079F"/>
    <w:rsid w:val="00810860"/>
    <w:rsid w:val="00810BF0"/>
    <w:rsid w:val="00812872"/>
    <w:rsid w:val="00813798"/>
    <w:rsid w:val="00814417"/>
    <w:rsid w:val="00814A01"/>
    <w:rsid w:val="00814B47"/>
    <w:rsid w:val="00814DF5"/>
    <w:rsid w:val="00815065"/>
    <w:rsid w:val="00815A07"/>
    <w:rsid w:val="00816218"/>
    <w:rsid w:val="00816330"/>
    <w:rsid w:val="008164D6"/>
    <w:rsid w:val="0081669D"/>
    <w:rsid w:val="00816732"/>
    <w:rsid w:val="00817C94"/>
    <w:rsid w:val="00820CB0"/>
    <w:rsid w:val="00821208"/>
    <w:rsid w:val="008213D5"/>
    <w:rsid w:val="00821B88"/>
    <w:rsid w:val="00822064"/>
    <w:rsid w:val="00822C14"/>
    <w:rsid w:val="008237DB"/>
    <w:rsid w:val="0082397B"/>
    <w:rsid w:val="00824172"/>
    <w:rsid w:val="008243C2"/>
    <w:rsid w:val="00825030"/>
    <w:rsid w:val="0082582B"/>
    <w:rsid w:val="008259FF"/>
    <w:rsid w:val="008260A6"/>
    <w:rsid w:val="00826A3A"/>
    <w:rsid w:val="00826E38"/>
    <w:rsid w:val="008277E2"/>
    <w:rsid w:val="00827D0D"/>
    <w:rsid w:val="00830B67"/>
    <w:rsid w:val="00830D7C"/>
    <w:rsid w:val="00831456"/>
    <w:rsid w:val="008318B5"/>
    <w:rsid w:val="0083206D"/>
    <w:rsid w:val="008320C9"/>
    <w:rsid w:val="00832187"/>
    <w:rsid w:val="008326CB"/>
    <w:rsid w:val="0083314A"/>
    <w:rsid w:val="00833683"/>
    <w:rsid w:val="00834311"/>
    <w:rsid w:val="00836383"/>
    <w:rsid w:val="00836CC5"/>
    <w:rsid w:val="00836EF7"/>
    <w:rsid w:val="008372A4"/>
    <w:rsid w:val="00837596"/>
    <w:rsid w:val="008376D7"/>
    <w:rsid w:val="008377D0"/>
    <w:rsid w:val="00837A5C"/>
    <w:rsid w:val="00840001"/>
    <w:rsid w:val="008400A2"/>
    <w:rsid w:val="0084025D"/>
    <w:rsid w:val="00840B21"/>
    <w:rsid w:val="00840CD6"/>
    <w:rsid w:val="00841599"/>
    <w:rsid w:val="00841692"/>
    <w:rsid w:val="008421D5"/>
    <w:rsid w:val="00842F29"/>
    <w:rsid w:val="008432E3"/>
    <w:rsid w:val="00843AB1"/>
    <w:rsid w:val="008441C1"/>
    <w:rsid w:val="00845346"/>
    <w:rsid w:val="0084624F"/>
    <w:rsid w:val="00846F24"/>
    <w:rsid w:val="00847B68"/>
    <w:rsid w:val="00847FA7"/>
    <w:rsid w:val="00850521"/>
    <w:rsid w:val="00850DF1"/>
    <w:rsid w:val="00851921"/>
    <w:rsid w:val="00852906"/>
    <w:rsid w:val="00852ACF"/>
    <w:rsid w:val="00852F7E"/>
    <w:rsid w:val="00853CAD"/>
    <w:rsid w:val="00853F8C"/>
    <w:rsid w:val="00854844"/>
    <w:rsid w:val="00854C43"/>
    <w:rsid w:val="00854D66"/>
    <w:rsid w:val="00855BCB"/>
    <w:rsid w:val="0085608F"/>
    <w:rsid w:val="00856158"/>
    <w:rsid w:val="00856896"/>
    <w:rsid w:val="00856C73"/>
    <w:rsid w:val="0085722A"/>
    <w:rsid w:val="0086043B"/>
    <w:rsid w:val="00860C7D"/>
    <w:rsid w:val="00861096"/>
    <w:rsid w:val="0086128F"/>
    <w:rsid w:val="008613FF"/>
    <w:rsid w:val="00861B3F"/>
    <w:rsid w:val="00861E48"/>
    <w:rsid w:val="00862280"/>
    <w:rsid w:val="00862546"/>
    <w:rsid w:val="008629CC"/>
    <w:rsid w:val="00863276"/>
    <w:rsid w:val="0086392C"/>
    <w:rsid w:val="00863ABF"/>
    <w:rsid w:val="00863FE6"/>
    <w:rsid w:val="008650C1"/>
    <w:rsid w:val="00865FFD"/>
    <w:rsid w:val="0086655F"/>
    <w:rsid w:val="00866B0C"/>
    <w:rsid w:val="00866B97"/>
    <w:rsid w:val="00867155"/>
    <w:rsid w:val="0087078C"/>
    <w:rsid w:val="00870C0E"/>
    <w:rsid w:val="008716D7"/>
    <w:rsid w:val="008718FF"/>
    <w:rsid w:val="00872710"/>
    <w:rsid w:val="00872E95"/>
    <w:rsid w:val="008732CD"/>
    <w:rsid w:val="00873519"/>
    <w:rsid w:val="00873B37"/>
    <w:rsid w:val="00873CF3"/>
    <w:rsid w:val="0087718B"/>
    <w:rsid w:val="00877351"/>
    <w:rsid w:val="00877366"/>
    <w:rsid w:val="00877AB8"/>
    <w:rsid w:val="00877C0C"/>
    <w:rsid w:val="00877E26"/>
    <w:rsid w:val="00880291"/>
    <w:rsid w:val="00880E3F"/>
    <w:rsid w:val="00880EB6"/>
    <w:rsid w:val="00881565"/>
    <w:rsid w:val="00881B78"/>
    <w:rsid w:val="00882B54"/>
    <w:rsid w:val="00882CC9"/>
    <w:rsid w:val="00883022"/>
    <w:rsid w:val="008834E2"/>
    <w:rsid w:val="008837F4"/>
    <w:rsid w:val="008838B8"/>
    <w:rsid w:val="00883BFE"/>
    <w:rsid w:val="008844BF"/>
    <w:rsid w:val="00884AF2"/>
    <w:rsid w:val="0088502C"/>
    <w:rsid w:val="008851CB"/>
    <w:rsid w:val="00885968"/>
    <w:rsid w:val="00886382"/>
    <w:rsid w:val="00886525"/>
    <w:rsid w:val="008879CB"/>
    <w:rsid w:val="00887BE9"/>
    <w:rsid w:val="0089004E"/>
    <w:rsid w:val="0089067A"/>
    <w:rsid w:val="008907C4"/>
    <w:rsid w:val="00891527"/>
    <w:rsid w:val="00892167"/>
    <w:rsid w:val="008927F9"/>
    <w:rsid w:val="00892C50"/>
    <w:rsid w:val="00892CD7"/>
    <w:rsid w:val="00892E77"/>
    <w:rsid w:val="0089310A"/>
    <w:rsid w:val="00893C52"/>
    <w:rsid w:val="00894915"/>
    <w:rsid w:val="00894DC4"/>
    <w:rsid w:val="00895776"/>
    <w:rsid w:val="00895C54"/>
    <w:rsid w:val="00895CB4"/>
    <w:rsid w:val="008972B3"/>
    <w:rsid w:val="00897AF7"/>
    <w:rsid w:val="008A0450"/>
    <w:rsid w:val="008A0DED"/>
    <w:rsid w:val="008A1779"/>
    <w:rsid w:val="008A2269"/>
    <w:rsid w:val="008A26EB"/>
    <w:rsid w:val="008A2EFD"/>
    <w:rsid w:val="008A3086"/>
    <w:rsid w:val="008A3505"/>
    <w:rsid w:val="008A3542"/>
    <w:rsid w:val="008A40F5"/>
    <w:rsid w:val="008A42A3"/>
    <w:rsid w:val="008A4322"/>
    <w:rsid w:val="008A5464"/>
    <w:rsid w:val="008A5D4F"/>
    <w:rsid w:val="008A6224"/>
    <w:rsid w:val="008A6C3E"/>
    <w:rsid w:val="008A7BE3"/>
    <w:rsid w:val="008B0292"/>
    <w:rsid w:val="008B02EA"/>
    <w:rsid w:val="008B0456"/>
    <w:rsid w:val="008B094B"/>
    <w:rsid w:val="008B09AF"/>
    <w:rsid w:val="008B1608"/>
    <w:rsid w:val="008B1D86"/>
    <w:rsid w:val="008B2157"/>
    <w:rsid w:val="008B3B33"/>
    <w:rsid w:val="008B4198"/>
    <w:rsid w:val="008B560E"/>
    <w:rsid w:val="008B5939"/>
    <w:rsid w:val="008B5C88"/>
    <w:rsid w:val="008B5F7D"/>
    <w:rsid w:val="008B66FA"/>
    <w:rsid w:val="008B6C4F"/>
    <w:rsid w:val="008B71E0"/>
    <w:rsid w:val="008B745D"/>
    <w:rsid w:val="008C06CA"/>
    <w:rsid w:val="008C08A1"/>
    <w:rsid w:val="008C0DED"/>
    <w:rsid w:val="008C0E4B"/>
    <w:rsid w:val="008C1122"/>
    <w:rsid w:val="008C192D"/>
    <w:rsid w:val="008C209B"/>
    <w:rsid w:val="008C2A11"/>
    <w:rsid w:val="008C2B57"/>
    <w:rsid w:val="008C2E76"/>
    <w:rsid w:val="008C353A"/>
    <w:rsid w:val="008C3BC4"/>
    <w:rsid w:val="008C4560"/>
    <w:rsid w:val="008C4796"/>
    <w:rsid w:val="008C4E76"/>
    <w:rsid w:val="008C4F0A"/>
    <w:rsid w:val="008C5564"/>
    <w:rsid w:val="008C5CA4"/>
    <w:rsid w:val="008C706B"/>
    <w:rsid w:val="008D0670"/>
    <w:rsid w:val="008D0B39"/>
    <w:rsid w:val="008D10B0"/>
    <w:rsid w:val="008D14D4"/>
    <w:rsid w:val="008D18E9"/>
    <w:rsid w:val="008D22A4"/>
    <w:rsid w:val="008D2971"/>
    <w:rsid w:val="008D2AA1"/>
    <w:rsid w:val="008D3D6A"/>
    <w:rsid w:val="008D3DDA"/>
    <w:rsid w:val="008D3E3D"/>
    <w:rsid w:val="008D429F"/>
    <w:rsid w:val="008D459F"/>
    <w:rsid w:val="008D46C7"/>
    <w:rsid w:val="008D47A2"/>
    <w:rsid w:val="008D4ADB"/>
    <w:rsid w:val="008D4B37"/>
    <w:rsid w:val="008D4F4F"/>
    <w:rsid w:val="008D5244"/>
    <w:rsid w:val="008D54D7"/>
    <w:rsid w:val="008D5FBF"/>
    <w:rsid w:val="008D5FF0"/>
    <w:rsid w:val="008D65C2"/>
    <w:rsid w:val="008D6D95"/>
    <w:rsid w:val="008D7417"/>
    <w:rsid w:val="008D7AA8"/>
    <w:rsid w:val="008E006F"/>
    <w:rsid w:val="008E0285"/>
    <w:rsid w:val="008E067A"/>
    <w:rsid w:val="008E074D"/>
    <w:rsid w:val="008E1152"/>
    <w:rsid w:val="008E1552"/>
    <w:rsid w:val="008E25F6"/>
    <w:rsid w:val="008E2E7B"/>
    <w:rsid w:val="008E38E6"/>
    <w:rsid w:val="008E55ED"/>
    <w:rsid w:val="008E5C1A"/>
    <w:rsid w:val="008E5D40"/>
    <w:rsid w:val="008E705E"/>
    <w:rsid w:val="008F056E"/>
    <w:rsid w:val="008F077A"/>
    <w:rsid w:val="008F168B"/>
    <w:rsid w:val="008F1BC0"/>
    <w:rsid w:val="008F208B"/>
    <w:rsid w:val="008F269F"/>
    <w:rsid w:val="008F2805"/>
    <w:rsid w:val="008F3AC8"/>
    <w:rsid w:val="008F3CB1"/>
    <w:rsid w:val="008F47E3"/>
    <w:rsid w:val="008F4C8F"/>
    <w:rsid w:val="008F5AFC"/>
    <w:rsid w:val="008F5B1F"/>
    <w:rsid w:val="008F71FD"/>
    <w:rsid w:val="008F76E1"/>
    <w:rsid w:val="008F7A01"/>
    <w:rsid w:val="008F7A2A"/>
    <w:rsid w:val="00900482"/>
    <w:rsid w:val="0090049F"/>
    <w:rsid w:val="009005F9"/>
    <w:rsid w:val="009006C3"/>
    <w:rsid w:val="009011F2"/>
    <w:rsid w:val="00901B7E"/>
    <w:rsid w:val="00902331"/>
    <w:rsid w:val="009027D0"/>
    <w:rsid w:val="00902C73"/>
    <w:rsid w:val="00903427"/>
    <w:rsid w:val="0090408A"/>
    <w:rsid w:val="00904356"/>
    <w:rsid w:val="0090529E"/>
    <w:rsid w:val="00905430"/>
    <w:rsid w:val="00905618"/>
    <w:rsid w:val="009062C8"/>
    <w:rsid w:val="00906477"/>
    <w:rsid w:val="00906B0E"/>
    <w:rsid w:val="00907869"/>
    <w:rsid w:val="009102E9"/>
    <w:rsid w:val="009111CE"/>
    <w:rsid w:val="00911232"/>
    <w:rsid w:val="009113D7"/>
    <w:rsid w:val="0091157F"/>
    <w:rsid w:val="00911A52"/>
    <w:rsid w:val="00911ACE"/>
    <w:rsid w:val="00911BA8"/>
    <w:rsid w:val="009126F5"/>
    <w:rsid w:val="0091374B"/>
    <w:rsid w:val="00913BE1"/>
    <w:rsid w:val="00914731"/>
    <w:rsid w:val="00914892"/>
    <w:rsid w:val="009150BF"/>
    <w:rsid w:val="00915598"/>
    <w:rsid w:val="00915617"/>
    <w:rsid w:val="009156D4"/>
    <w:rsid w:val="00915968"/>
    <w:rsid w:val="00915F97"/>
    <w:rsid w:val="00916D98"/>
    <w:rsid w:val="009179E3"/>
    <w:rsid w:val="00920291"/>
    <w:rsid w:val="009203A4"/>
    <w:rsid w:val="009207BD"/>
    <w:rsid w:val="00921777"/>
    <w:rsid w:val="00921AD9"/>
    <w:rsid w:val="0092296E"/>
    <w:rsid w:val="00922EEA"/>
    <w:rsid w:val="00923101"/>
    <w:rsid w:val="00924398"/>
    <w:rsid w:val="0092482A"/>
    <w:rsid w:val="0092491A"/>
    <w:rsid w:val="00925243"/>
    <w:rsid w:val="009252B5"/>
    <w:rsid w:val="0092546F"/>
    <w:rsid w:val="00925598"/>
    <w:rsid w:val="00925CA6"/>
    <w:rsid w:val="009264CE"/>
    <w:rsid w:val="00926613"/>
    <w:rsid w:val="00926BAD"/>
    <w:rsid w:val="009303F4"/>
    <w:rsid w:val="00930EBC"/>
    <w:rsid w:val="00931462"/>
    <w:rsid w:val="0093165E"/>
    <w:rsid w:val="0093193C"/>
    <w:rsid w:val="00932113"/>
    <w:rsid w:val="00932B97"/>
    <w:rsid w:val="00932BF9"/>
    <w:rsid w:val="00932C6B"/>
    <w:rsid w:val="00933226"/>
    <w:rsid w:val="00933AE7"/>
    <w:rsid w:val="00934977"/>
    <w:rsid w:val="00935511"/>
    <w:rsid w:val="00935842"/>
    <w:rsid w:val="00935F21"/>
    <w:rsid w:val="00935FC9"/>
    <w:rsid w:val="00936142"/>
    <w:rsid w:val="00936340"/>
    <w:rsid w:val="009409AB"/>
    <w:rsid w:val="00940D44"/>
    <w:rsid w:val="00941CB2"/>
    <w:rsid w:val="00941D6A"/>
    <w:rsid w:val="00942739"/>
    <w:rsid w:val="009428F3"/>
    <w:rsid w:val="00942F04"/>
    <w:rsid w:val="00942F32"/>
    <w:rsid w:val="009438E3"/>
    <w:rsid w:val="00944E60"/>
    <w:rsid w:val="00945441"/>
    <w:rsid w:val="009463D4"/>
    <w:rsid w:val="009466C6"/>
    <w:rsid w:val="00946949"/>
    <w:rsid w:val="00947092"/>
    <w:rsid w:val="00947567"/>
    <w:rsid w:val="00947572"/>
    <w:rsid w:val="00947798"/>
    <w:rsid w:val="00947AD2"/>
    <w:rsid w:val="00947CE6"/>
    <w:rsid w:val="0095043D"/>
    <w:rsid w:val="00950553"/>
    <w:rsid w:val="0095079F"/>
    <w:rsid w:val="009508EF"/>
    <w:rsid w:val="009526D5"/>
    <w:rsid w:val="009540DF"/>
    <w:rsid w:val="009545D1"/>
    <w:rsid w:val="00955C8F"/>
    <w:rsid w:val="009564D8"/>
    <w:rsid w:val="00956516"/>
    <w:rsid w:val="00957032"/>
    <w:rsid w:val="0095720A"/>
    <w:rsid w:val="00957647"/>
    <w:rsid w:val="0096010E"/>
    <w:rsid w:val="00960138"/>
    <w:rsid w:val="0096112E"/>
    <w:rsid w:val="00961520"/>
    <w:rsid w:val="0096194B"/>
    <w:rsid w:val="0096266C"/>
    <w:rsid w:val="0096300C"/>
    <w:rsid w:val="00963047"/>
    <w:rsid w:val="00964D43"/>
    <w:rsid w:val="00965208"/>
    <w:rsid w:val="009661DD"/>
    <w:rsid w:val="00966616"/>
    <w:rsid w:val="009666AA"/>
    <w:rsid w:val="00967794"/>
    <w:rsid w:val="00967D2B"/>
    <w:rsid w:val="009701E3"/>
    <w:rsid w:val="0097161B"/>
    <w:rsid w:val="00971627"/>
    <w:rsid w:val="00971DE4"/>
    <w:rsid w:val="0097418F"/>
    <w:rsid w:val="0097439C"/>
    <w:rsid w:val="00975455"/>
    <w:rsid w:val="00975660"/>
    <w:rsid w:val="0097627E"/>
    <w:rsid w:val="00977567"/>
    <w:rsid w:val="0097787C"/>
    <w:rsid w:val="00977897"/>
    <w:rsid w:val="0097794F"/>
    <w:rsid w:val="00980466"/>
    <w:rsid w:val="00980B02"/>
    <w:rsid w:val="00980B58"/>
    <w:rsid w:val="0098108B"/>
    <w:rsid w:val="009826FA"/>
    <w:rsid w:val="00982A93"/>
    <w:rsid w:val="00982D51"/>
    <w:rsid w:val="0098309F"/>
    <w:rsid w:val="00983462"/>
    <w:rsid w:val="00983793"/>
    <w:rsid w:val="00984102"/>
    <w:rsid w:val="00984A33"/>
    <w:rsid w:val="009858A8"/>
    <w:rsid w:val="009859CB"/>
    <w:rsid w:val="00985FAF"/>
    <w:rsid w:val="00986417"/>
    <w:rsid w:val="0098687B"/>
    <w:rsid w:val="00986E0A"/>
    <w:rsid w:val="00986E20"/>
    <w:rsid w:val="0098738E"/>
    <w:rsid w:val="00987450"/>
    <w:rsid w:val="009879B0"/>
    <w:rsid w:val="00987F9D"/>
    <w:rsid w:val="00990C3B"/>
    <w:rsid w:val="0099166B"/>
    <w:rsid w:val="00992425"/>
    <w:rsid w:val="0099272F"/>
    <w:rsid w:val="0099287E"/>
    <w:rsid w:val="009928E1"/>
    <w:rsid w:val="00992A9E"/>
    <w:rsid w:val="00993649"/>
    <w:rsid w:val="00994A0E"/>
    <w:rsid w:val="00994DEC"/>
    <w:rsid w:val="0099526D"/>
    <w:rsid w:val="00995CD5"/>
    <w:rsid w:val="00996F6E"/>
    <w:rsid w:val="00997326"/>
    <w:rsid w:val="0099745A"/>
    <w:rsid w:val="00997AA9"/>
    <w:rsid w:val="009A0067"/>
    <w:rsid w:val="009A02D6"/>
    <w:rsid w:val="009A054B"/>
    <w:rsid w:val="009A0B98"/>
    <w:rsid w:val="009A0EBA"/>
    <w:rsid w:val="009A1516"/>
    <w:rsid w:val="009A1757"/>
    <w:rsid w:val="009A3C16"/>
    <w:rsid w:val="009A44EC"/>
    <w:rsid w:val="009A4B18"/>
    <w:rsid w:val="009A5070"/>
    <w:rsid w:val="009A5BCD"/>
    <w:rsid w:val="009A5E9A"/>
    <w:rsid w:val="009A6FA6"/>
    <w:rsid w:val="009A71B0"/>
    <w:rsid w:val="009A7A6D"/>
    <w:rsid w:val="009A7A77"/>
    <w:rsid w:val="009A7EFD"/>
    <w:rsid w:val="009B069B"/>
    <w:rsid w:val="009B0704"/>
    <w:rsid w:val="009B147A"/>
    <w:rsid w:val="009B1BA2"/>
    <w:rsid w:val="009B2DBA"/>
    <w:rsid w:val="009B3615"/>
    <w:rsid w:val="009B3B12"/>
    <w:rsid w:val="009B57FD"/>
    <w:rsid w:val="009B5B59"/>
    <w:rsid w:val="009B6240"/>
    <w:rsid w:val="009B6DCE"/>
    <w:rsid w:val="009B71C2"/>
    <w:rsid w:val="009C0018"/>
    <w:rsid w:val="009C06AF"/>
    <w:rsid w:val="009C10B7"/>
    <w:rsid w:val="009C1508"/>
    <w:rsid w:val="009C195B"/>
    <w:rsid w:val="009C1B44"/>
    <w:rsid w:val="009C2B64"/>
    <w:rsid w:val="009C2B66"/>
    <w:rsid w:val="009C2BBD"/>
    <w:rsid w:val="009C36D5"/>
    <w:rsid w:val="009C3DBB"/>
    <w:rsid w:val="009C3F27"/>
    <w:rsid w:val="009C4F36"/>
    <w:rsid w:val="009C514C"/>
    <w:rsid w:val="009C6549"/>
    <w:rsid w:val="009C655B"/>
    <w:rsid w:val="009C74FA"/>
    <w:rsid w:val="009C7505"/>
    <w:rsid w:val="009C79CF"/>
    <w:rsid w:val="009D02F4"/>
    <w:rsid w:val="009D0799"/>
    <w:rsid w:val="009D09A6"/>
    <w:rsid w:val="009D0A0C"/>
    <w:rsid w:val="009D0E66"/>
    <w:rsid w:val="009D0F4F"/>
    <w:rsid w:val="009D1474"/>
    <w:rsid w:val="009D1825"/>
    <w:rsid w:val="009D2239"/>
    <w:rsid w:val="009D230C"/>
    <w:rsid w:val="009D2C63"/>
    <w:rsid w:val="009D315E"/>
    <w:rsid w:val="009D346F"/>
    <w:rsid w:val="009D3997"/>
    <w:rsid w:val="009D39BA"/>
    <w:rsid w:val="009D3E89"/>
    <w:rsid w:val="009D4689"/>
    <w:rsid w:val="009D544E"/>
    <w:rsid w:val="009D58E8"/>
    <w:rsid w:val="009D5BBD"/>
    <w:rsid w:val="009D688B"/>
    <w:rsid w:val="009D6B57"/>
    <w:rsid w:val="009D6FEB"/>
    <w:rsid w:val="009D7706"/>
    <w:rsid w:val="009E0BE7"/>
    <w:rsid w:val="009E1521"/>
    <w:rsid w:val="009E156F"/>
    <w:rsid w:val="009E1958"/>
    <w:rsid w:val="009E218E"/>
    <w:rsid w:val="009E24E5"/>
    <w:rsid w:val="009E39A9"/>
    <w:rsid w:val="009E39C8"/>
    <w:rsid w:val="009E4CFC"/>
    <w:rsid w:val="009E5AC1"/>
    <w:rsid w:val="009E6467"/>
    <w:rsid w:val="009E67E3"/>
    <w:rsid w:val="009E6C4E"/>
    <w:rsid w:val="009E6FE6"/>
    <w:rsid w:val="009E7063"/>
    <w:rsid w:val="009E7E80"/>
    <w:rsid w:val="009F0163"/>
    <w:rsid w:val="009F0B87"/>
    <w:rsid w:val="009F15A7"/>
    <w:rsid w:val="009F163E"/>
    <w:rsid w:val="009F186A"/>
    <w:rsid w:val="009F1FCA"/>
    <w:rsid w:val="009F2A01"/>
    <w:rsid w:val="009F3AF6"/>
    <w:rsid w:val="009F442A"/>
    <w:rsid w:val="009F4A44"/>
    <w:rsid w:val="009F4BB6"/>
    <w:rsid w:val="009F5C95"/>
    <w:rsid w:val="009F6027"/>
    <w:rsid w:val="009F6206"/>
    <w:rsid w:val="009F62DE"/>
    <w:rsid w:val="009F6325"/>
    <w:rsid w:val="009F6B05"/>
    <w:rsid w:val="00A00337"/>
    <w:rsid w:val="00A01D46"/>
    <w:rsid w:val="00A023CE"/>
    <w:rsid w:val="00A0244F"/>
    <w:rsid w:val="00A02DE6"/>
    <w:rsid w:val="00A02EC3"/>
    <w:rsid w:val="00A03326"/>
    <w:rsid w:val="00A03729"/>
    <w:rsid w:val="00A04926"/>
    <w:rsid w:val="00A05149"/>
    <w:rsid w:val="00A05591"/>
    <w:rsid w:val="00A05D77"/>
    <w:rsid w:val="00A06184"/>
    <w:rsid w:val="00A070A3"/>
    <w:rsid w:val="00A100B6"/>
    <w:rsid w:val="00A1029F"/>
    <w:rsid w:val="00A1030A"/>
    <w:rsid w:val="00A10DFC"/>
    <w:rsid w:val="00A11FEE"/>
    <w:rsid w:val="00A12BBB"/>
    <w:rsid w:val="00A14F50"/>
    <w:rsid w:val="00A15B65"/>
    <w:rsid w:val="00A160DF"/>
    <w:rsid w:val="00A16AFF"/>
    <w:rsid w:val="00A171BF"/>
    <w:rsid w:val="00A173F3"/>
    <w:rsid w:val="00A1747D"/>
    <w:rsid w:val="00A1777E"/>
    <w:rsid w:val="00A2009E"/>
    <w:rsid w:val="00A2024F"/>
    <w:rsid w:val="00A2086B"/>
    <w:rsid w:val="00A20ED4"/>
    <w:rsid w:val="00A21BEE"/>
    <w:rsid w:val="00A224D3"/>
    <w:rsid w:val="00A22651"/>
    <w:rsid w:val="00A22C6F"/>
    <w:rsid w:val="00A23F92"/>
    <w:rsid w:val="00A2417E"/>
    <w:rsid w:val="00A24846"/>
    <w:rsid w:val="00A24B90"/>
    <w:rsid w:val="00A24C2C"/>
    <w:rsid w:val="00A24E24"/>
    <w:rsid w:val="00A25437"/>
    <w:rsid w:val="00A25836"/>
    <w:rsid w:val="00A25A4E"/>
    <w:rsid w:val="00A25F07"/>
    <w:rsid w:val="00A2640B"/>
    <w:rsid w:val="00A266E1"/>
    <w:rsid w:val="00A27442"/>
    <w:rsid w:val="00A301DE"/>
    <w:rsid w:val="00A3167A"/>
    <w:rsid w:val="00A324EC"/>
    <w:rsid w:val="00A3283E"/>
    <w:rsid w:val="00A32CE7"/>
    <w:rsid w:val="00A32FDB"/>
    <w:rsid w:val="00A3318E"/>
    <w:rsid w:val="00A3373B"/>
    <w:rsid w:val="00A33AB4"/>
    <w:rsid w:val="00A33EC5"/>
    <w:rsid w:val="00A3446C"/>
    <w:rsid w:val="00A3511E"/>
    <w:rsid w:val="00A355A2"/>
    <w:rsid w:val="00A35C8C"/>
    <w:rsid w:val="00A35F5F"/>
    <w:rsid w:val="00A36083"/>
    <w:rsid w:val="00A364DB"/>
    <w:rsid w:val="00A36FE1"/>
    <w:rsid w:val="00A37DBA"/>
    <w:rsid w:val="00A40501"/>
    <w:rsid w:val="00A407A1"/>
    <w:rsid w:val="00A409A5"/>
    <w:rsid w:val="00A40D41"/>
    <w:rsid w:val="00A41269"/>
    <w:rsid w:val="00A4198E"/>
    <w:rsid w:val="00A41B88"/>
    <w:rsid w:val="00A4205F"/>
    <w:rsid w:val="00A42B3D"/>
    <w:rsid w:val="00A42E14"/>
    <w:rsid w:val="00A43278"/>
    <w:rsid w:val="00A43D14"/>
    <w:rsid w:val="00A44EA1"/>
    <w:rsid w:val="00A44FCF"/>
    <w:rsid w:val="00A45211"/>
    <w:rsid w:val="00A46161"/>
    <w:rsid w:val="00A46880"/>
    <w:rsid w:val="00A468D6"/>
    <w:rsid w:val="00A47937"/>
    <w:rsid w:val="00A47D23"/>
    <w:rsid w:val="00A505D1"/>
    <w:rsid w:val="00A51AB4"/>
    <w:rsid w:val="00A5241F"/>
    <w:rsid w:val="00A52F44"/>
    <w:rsid w:val="00A53F32"/>
    <w:rsid w:val="00A54B92"/>
    <w:rsid w:val="00A54F8B"/>
    <w:rsid w:val="00A55920"/>
    <w:rsid w:val="00A55BC8"/>
    <w:rsid w:val="00A56402"/>
    <w:rsid w:val="00A56F12"/>
    <w:rsid w:val="00A574E8"/>
    <w:rsid w:val="00A57D95"/>
    <w:rsid w:val="00A57FEC"/>
    <w:rsid w:val="00A60617"/>
    <w:rsid w:val="00A60C00"/>
    <w:rsid w:val="00A619C9"/>
    <w:rsid w:val="00A61E87"/>
    <w:rsid w:val="00A61F15"/>
    <w:rsid w:val="00A6201B"/>
    <w:rsid w:val="00A63079"/>
    <w:rsid w:val="00A63603"/>
    <w:rsid w:val="00A64965"/>
    <w:rsid w:val="00A66EE2"/>
    <w:rsid w:val="00A67902"/>
    <w:rsid w:val="00A702AA"/>
    <w:rsid w:val="00A709B3"/>
    <w:rsid w:val="00A7159E"/>
    <w:rsid w:val="00A72E9D"/>
    <w:rsid w:val="00A72F89"/>
    <w:rsid w:val="00A73566"/>
    <w:rsid w:val="00A73AC6"/>
    <w:rsid w:val="00A73F39"/>
    <w:rsid w:val="00A73FC1"/>
    <w:rsid w:val="00A74103"/>
    <w:rsid w:val="00A74221"/>
    <w:rsid w:val="00A748DC"/>
    <w:rsid w:val="00A75577"/>
    <w:rsid w:val="00A7642F"/>
    <w:rsid w:val="00A76ADA"/>
    <w:rsid w:val="00A76AEF"/>
    <w:rsid w:val="00A77978"/>
    <w:rsid w:val="00A77B92"/>
    <w:rsid w:val="00A77D27"/>
    <w:rsid w:val="00A807AE"/>
    <w:rsid w:val="00A80960"/>
    <w:rsid w:val="00A81991"/>
    <w:rsid w:val="00A819A0"/>
    <w:rsid w:val="00A828A2"/>
    <w:rsid w:val="00A836B1"/>
    <w:rsid w:val="00A840EC"/>
    <w:rsid w:val="00A84DE2"/>
    <w:rsid w:val="00A85610"/>
    <w:rsid w:val="00A86371"/>
    <w:rsid w:val="00A87534"/>
    <w:rsid w:val="00A90A57"/>
    <w:rsid w:val="00A90E2B"/>
    <w:rsid w:val="00A9141D"/>
    <w:rsid w:val="00A91F09"/>
    <w:rsid w:val="00A92072"/>
    <w:rsid w:val="00A92CAC"/>
    <w:rsid w:val="00A93675"/>
    <w:rsid w:val="00A938BA"/>
    <w:rsid w:val="00A9394D"/>
    <w:rsid w:val="00A9563D"/>
    <w:rsid w:val="00A95B2E"/>
    <w:rsid w:val="00A95F9D"/>
    <w:rsid w:val="00A9693A"/>
    <w:rsid w:val="00A969E1"/>
    <w:rsid w:val="00A97437"/>
    <w:rsid w:val="00A97C7B"/>
    <w:rsid w:val="00A97FD4"/>
    <w:rsid w:val="00AA1870"/>
    <w:rsid w:val="00AA1C9D"/>
    <w:rsid w:val="00AA2135"/>
    <w:rsid w:val="00AA35C6"/>
    <w:rsid w:val="00AA3666"/>
    <w:rsid w:val="00AA3BCA"/>
    <w:rsid w:val="00AA3F59"/>
    <w:rsid w:val="00AA4632"/>
    <w:rsid w:val="00AA4BE6"/>
    <w:rsid w:val="00AA56C9"/>
    <w:rsid w:val="00AA6717"/>
    <w:rsid w:val="00AA6784"/>
    <w:rsid w:val="00AA6786"/>
    <w:rsid w:val="00AA6F96"/>
    <w:rsid w:val="00AA732F"/>
    <w:rsid w:val="00AA7618"/>
    <w:rsid w:val="00AA79C8"/>
    <w:rsid w:val="00AA7AF8"/>
    <w:rsid w:val="00AB01AC"/>
    <w:rsid w:val="00AB03BA"/>
    <w:rsid w:val="00AB04FC"/>
    <w:rsid w:val="00AB0B61"/>
    <w:rsid w:val="00AB13D9"/>
    <w:rsid w:val="00AB1511"/>
    <w:rsid w:val="00AB1904"/>
    <w:rsid w:val="00AB1F7F"/>
    <w:rsid w:val="00AB21EA"/>
    <w:rsid w:val="00AB23E4"/>
    <w:rsid w:val="00AB24D0"/>
    <w:rsid w:val="00AB2894"/>
    <w:rsid w:val="00AB2C40"/>
    <w:rsid w:val="00AB3CA2"/>
    <w:rsid w:val="00AB454A"/>
    <w:rsid w:val="00AB47D3"/>
    <w:rsid w:val="00AB4B4A"/>
    <w:rsid w:val="00AB4EA4"/>
    <w:rsid w:val="00AB54B5"/>
    <w:rsid w:val="00AB560F"/>
    <w:rsid w:val="00AB6342"/>
    <w:rsid w:val="00AB64B7"/>
    <w:rsid w:val="00AB7366"/>
    <w:rsid w:val="00AB7786"/>
    <w:rsid w:val="00AC00E0"/>
    <w:rsid w:val="00AC0C68"/>
    <w:rsid w:val="00AC169C"/>
    <w:rsid w:val="00AC1BB2"/>
    <w:rsid w:val="00AC20D6"/>
    <w:rsid w:val="00AC2125"/>
    <w:rsid w:val="00AC2694"/>
    <w:rsid w:val="00AC4002"/>
    <w:rsid w:val="00AC4DE1"/>
    <w:rsid w:val="00AC5B08"/>
    <w:rsid w:val="00AC6A87"/>
    <w:rsid w:val="00AC77AC"/>
    <w:rsid w:val="00AC782F"/>
    <w:rsid w:val="00AC791E"/>
    <w:rsid w:val="00AD0156"/>
    <w:rsid w:val="00AD04F7"/>
    <w:rsid w:val="00AD0C09"/>
    <w:rsid w:val="00AD0E95"/>
    <w:rsid w:val="00AD14AD"/>
    <w:rsid w:val="00AD15ED"/>
    <w:rsid w:val="00AD17D1"/>
    <w:rsid w:val="00AD1829"/>
    <w:rsid w:val="00AD26DA"/>
    <w:rsid w:val="00AD40A0"/>
    <w:rsid w:val="00AD43E2"/>
    <w:rsid w:val="00AD4C02"/>
    <w:rsid w:val="00AD4C19"/>
    <w:rsid w:val="00AD4EC1"/>
    <w:rsid w:val="00AD55BA"/>
    <w:rsid w:val="00AD5A6A"/>
    <w:rsid w:val="00AD5BB5"/>
    <w:rsid w:val="00AD5F3B"/>
    <w:rsid w:val="00AD6EA4"/>
    <w:rsid w:val="00AD6FBD"/>
    <w:rsid w:val="00AD74B6"/>
    <w:rsid w:val="00AD7508"/>
    <w:rsid w:val="00AD7D25"/>
    <w:rsid w:val="00AD7ED2"/>
    <w:rsid w:val="00AE0659"/>
    <w:rsid w:val="00AE0839"/>
    <w:rsid w:val="00AE249D"/>
    <w:rsid w:val="00AE24A3"/>
    <w:rsid w:val="00AE24ED"/>
    <w:rsid w:val="00AE2FCC"/>
    <w:rsid w:val="00AE3BC5"/>
    <w:rsid w:val="00AE44BA"/>
    <w:rsid w:val="00AE4865"/>
    <w:rsid w:val="00AE5557"/>
    <w:rsid w:val="00AE57D1"/>
    <w:rsid w:val="00AE58BF"/>
    <w:rsid w:val="00AE59EB"/>
    <w:rsid w:val="00AE5C9D"/>
    <w:rsid w:val="00AE5EE3"/>
    <w:rsid w:val="00AE5FB9"/>
    <w:rsid w:val="00AE63F2"/>
    <w:rsid w:val="00AE6909"/>
    <w:rsid w:val="00AE7026"/>
    <w:rsid w:val="00AE7104"/>
    <w:rsid w:val="00AE7703"/>
    <w:rsid w:val="00AE777E"/>
    <w:rsid w:val="00AE7C07"/>
    <w:rsid w:val="00AF0F14"/>
    <w:rsid w:val="00AF1EA4"/>
    <w:rsid w:val="00AF216E"/>
    <w:rsid w:val="00AF2222"/>
    <w:rsid w:val="00AF2863"/>
    <w:rsid w:val="00AF2C81"/>
    <w:rsid w:val="00AF36D1"/>
    <w:rsid w:val="00AF38ED"/>
    <w:rsid w:val="00AF3DDD"/>
    <w:rsid w:val="00AF4E51"/>
    <w:rsid w:val="00AF574C"/>
    <w:rsid w:val="00AF5888"/>
    <w:rsid w:val="00AF5889"/>
    <w:rsid w:val="00AF64B9"/>
    <w:rsid w:val="00AF6D46"/>
    <w:rsid w:val="00AF709F"/>
    <w:rsid w:val="00AF718C"/>
    <w:rsid w:val="00AF736B"/>
    <w:rsid w:val="00AF74E4"/>
    <w:rsid w:val="00AF7B38"/>
    <w:rsid w:val="00AF7C7A"/>
    <w:rsid w:val="00B00066"/>
    <w:rsid w:val="00B006DF"/>
    <w:rsid w:val="00B00A40"/>
    <w:rsid w:val="00B0122F"/>
    <w:rsid w:val="00B020F3"/>
    <w:rsid w:val="00B02488"/>
    <w:rsid w:val="00B0267F"/>
    <w:rsid w:val="00B02A88"/>
    <w:rsid w:val="00B03242"/>
    <w:rsid w:val="00B044BB"/>
    <w:rsid w:val="00B0518B"/>
    <w:rsid w:val="00B06A49"/>
    <w:rsid w:val="00B0746D"/>
    <w:rsid w:val="00B074F6"/>
    <w:rsid w:val="00B07D41"/>
    <w:rsid w:val="00B1002F"/>
    <w:rsid w:val="00B1064B"/>
    <w:rsid w:val="00B109CE"/>
    <w:rsid w:val="00B10BB7"/>
    <w:rsid w:val="00B118FC"/>
    <w:rsid w:val="00B11F7C"/>
    <w:rsid w:val="00B1250A"/>
    <w:rsid w:val="00B12671"/>
    <w:rsid w:val="00B1280B"/>
    <w:rsid w:val="00B132BB"/>
    <w:rsid w:val="00B13E4A"/>
    <w:rsid w:val="00B13ED4"/>
    <w:rsid w:val="00B1423E"/>
    <w:rsid w:val="00B14BB3"/>
    <w:rsid w:val="00B1694F"/>
    <w:rsid w:val="00B16D1E"/>
    <w:rsid w:val="00B16E23"/>
    <w:rsid w:val="00B17295"/>
    <w:rsid w:val="00B17415"/>
    <w:rsid w:val="00B208EC"/>
    <w:rsid w:val="00B20ABE"/>
    <w:rsid w:val="00B2185E"/>
    <w:rsid w:val="00B21FDD"/>
    <w:rsid w:val="00B2200C"/>
    <w:rsid w:val="00B22ADE"/>
    <w:rsid w:val="00B23283"/>
    <w:rsid w:val="00B24A4E"/>
    <w:rsid w:val="00B257C5"/>
    <w:rsid w:val="00B2590F"/>
    <w:rsid w:val="00B2607A"/>
    <w:rsid w:val="00B26E71"/>
    <w:rsid w:val="00B2765C"/>
    <w:rsid w:val="00B301A1"/>
    <w:rsid w:val="00B30475"/>
    <w:rsid w:val="00B307B1"/>
    <w:rsid w:val="00B30B60"/>
    <w:rsid w:val="00B31629"/>
    <w:rsid w:val="00B32C0E"/>
    <w:rsid w:val="00B32CBA"/>
    <w:rsid w:val="00B330C6"/>
    <w:rsid w:val="00B33805"/>
    <w:rsid w:val="00B34C9B"/>
    <w:rsid w:val="00B3573C"/>
    <w:rsid w:val="00B35F91"/>
    <w:rsid w:val="00B360DD"/>
    <w:rsid w:val="00B37249"/>
    <w:rsid w:val="00B37390"/>
    <w:rsid w:val="00B41287"/>
    <w:rsid w:val="00B41614"/>
    <w:rsid w:val="00B41A11"/>
    <w:rsid w:val="00B42D4E"/>
    <w:rsid w:val="00B4308A"/>
    <w:rsid w:val="00B43F66"/>
    <w:rsid w:val="00B449D5"/>
    <w:rsid w:val="00B44B17"/>
    <w:rsid w:val="00B452F5"/>
    <w:rsid w:val="00B4683C"/>
    <w:rsid w:val="00B46860"/>
    <w:rsid w:val="00B47A4D"/>
    <w:rsid w:val="00B50337"/>
    <w:rsid w:val="00B50AB2"/>
    <w:rsid w:val="00B50C9B"/>
    <w:rsid w:val="00B50F72"/>
    <w:rsid w:val="00B51523"/>
    <w:rsid w:val="00B51B75"/>
    <w:rsid w:val="00B532AD"/>
    <w:rsid w:val="00B53568"/>
    <w:rsid w:val="00B53CB9"/>
    <w:rsid w:val="00B54397"/>
    <w:rsid w:val="00B54DA7"/>
    <w:rsid w:val="00B54E56"/>
    <w:rsid w:val="00B55E5E"/>
    <w:rsid w:val="00B567DE"/>
    <w:rsid w:val="00B56D21"/>
    <w:rsid w:val="00B56D8B"/>
    <w:rsid w:val="00B56F3E"/>
    <w:rsid w:val="00B577A5"/>
    <w:rsid w:val="00B603CD"/>
    <w:rsid w:val="00B62366"/>
    <w:rsid w:val="00B6264D"/>
    <w:rsid w:val="00B6272C"/>
    <w:rsid w:val="00B62D2B"/>
    <w:rsid w:val="00B62F50"/>
    <w:rsid w:val="00B6306B"/>
    <w:rsid w:val="00B634D9"/>
    <w:rsid w:val="00B63BDB"/>
    <w:rsid w:val="00B63E04"/>
    <w:rsid w:val="00B63FD1"/>
    <w:rsid w:val="00B63FF2"/>
    <w:rsid w:val="00B6439A"/>
    <w:rsid w:val="00B649C6"/>
    <w:rsid w:val="00B651C9"/>
    <w:rsid w:val="00B658CE"/>
    <w:rsid w:val="00B65AC0"/>
    <w:rsid w:val="00B65D55"/>
    <w:rsid w:val="00B65DBB"/>
    <w:rsid w:val="00B6602F"/>
    <w:rsid w:val="00B666F9"/>
    <w:rsid w:val="00B66C02"/>
    <w:rsid w:val="00B673D7"/>
    <w:rsid w:val="00B678E6"/>
    <w:rsid w:val="00B704CC"/>
    <w:rsid w:val="00B705D9"/>
    <w:rsid w:val="00B70613"/>
    <w:rsid w:val="00B70D62"/>
    <w:rsid w:val="00B714A3"/>
    <w:rsid w:val="00B717DC"/>
    <w:rsid w:val="00B717F5"/>
    <w:rsid w:val="00B7260F"/>
    <w:rsid w:val="00B728A5"/>
    <w:rsid w:val="00B7365A"/>
    <w:rsid w:val="00B73C08"/>
    <w:rsid w:val="00B73C77"/>
    <w:rsid w:val="00B74CCF"/>
    <w:rsid w:val="00B75623"/>
    <w:rsid w:val="00B7593D"/>
    <w:rsid w:val="00B75A96"/>
    <w:rsid w:val="00B75C2D"/>
    <w:rsid w:val="00B75CDA"/>
    <w:rsid w:val="00B76237"/>
    <w:rsid w:val="00B764AA"/>
    <w:rsid w:val="00B764BC"/>
    <w:rsid w:val="00B76776"/>
    <w:rsid w:val="00B800EB"/>
    <w:rsid w:val="00B806E3"/>
    <w:rsid w:val="00B80AB4"/>
    <w:rsid w:val="00B813CA"/>
    <w:rsid w:val="00B81DD9"/>
    <w:rsid w:val="00B81E80"/>
    <w:rsid w:val="00B82DAE"/>
    <w:rsid w:val="00B83886"/>
    <w:rsid w:val="00B847C8"/>
    <w:rsid w:val="00B848BA"/>
    <w:rsid w:val="00B84D46"/>
    <w:rsid w:val="00B84FD8"/>
    <w:rsid w:val="00B852E0"/>
    <w:rsid w:val="00B85DEC"/>
    <w:rsid w:val="00B8609C"/>
    <w:rsid w:val="00B8638B"/>
    <w:rsid w:val="00B86589"/>
    <w:rsid w:val="00B86CFE"/>
    <w:rsid w:val="00B86EA3"/>
    <w:rsid w:val="00B87186"/>
    <w:rsid w:val="00B8782D"/>
    <w:rsid w:val="00B87D24"/>
    <w:rsid w:val="00B87E74"/>
    <w:rsid w:val="00B90E4B"/>
    <w:rsid w:val="00B917AA"/>
    <w:rsid w:val="00B917DB"/>
    <w:rsid w:val="00B91AE1"/>
    <w:rsid w:val="00B929EF"/>
    <w:rsid w:val="00B93002"/>
    <w:rsid w:val="00B93444"/>
    <w:rsid w:val="00B93B92"/>
    <w:rsid w:val="00B942EC"/>
    <w:rsid w:val="00B94406"/>
    <w:rsid w:val="00B94FCE"/>
    <w:rsid w:val="00B950EB"/>
    <w:rsid w:val="00B95152"/>
    <w:rsid w:val="00B95248"/>
    <w:rsid w:val="00B95F54"/>
    <w:rsid w:val="00B9608E"/>
    <w:rsid w:val="00B9610F"/>
    <w:rsid w:val="00B968FD"/>
    <w:rsid w:val="00B96D27"/>
    <w:rsid w:val="00B976F4"/>
    <w:rsid w:val="00B97E6C"/>
    <w:rsid w:val="00B97FDE"/>
    <w:rsid w:val="00BA00B9"/>
    <w:rsid w:val="00BA089C"/>
    <w:rsid w:val="00BA0DBD"/>
    <w:rsid w:val="00BA13B7"/>
    <w:rsid w:val="00BA197E"/>
    <w:rsid w:val="00BA1DD4"/>
    <w:rsid w:val="00BA2499"/>
    <w:rsid w:val="00BA2871"/>
    <w:rsid w:val="00BA2A89"/>
    <w:rsid w:val="00BA370D"/>
    <w:rsid w:val="00BA3C71"/>
    <w:rsid w:val="00BA3CFB"/>
    <w:rsid w:val="00BA3F42"/>
    <w:rsid w:val="00BA4021"/>
    <w:rsid w:val="00BA415C"/>
    <w:rsid w:val="00BA4638"/>
    <w:rsid w:val="00BA46E5"/>
    <w:rsid w:val="00BA4BFD"/>
    <w:rsid w:val="00BA526A"/>
    <w:rsid w:val="00BA52C6"/>
    <w:rsid w:val="00BA5B2B"/>
    <w:rsid w:val="00BA60FD"/>
    <w:rsid w:val="00BA6628"/>
    <w:rsid w:val="00BA6E61"/>
    <w:rsid w:val="00BA7F6D"/>
    <w:rsid w:val="00BB002E"/>
    <w:rsid w:val="00BB013D"/>
    <w:rsid w:val="00BB04A5"/>
    <w:rsid w:val="00BB0E72"/>
    <w:rsid w:val="00BB19AD"/>
    <w:rsid w:val="00BB1DAE"/>
    <w:rsid w:val="00BB2019"/>
    <w:rsid w:val="00BB2DDE"/>
    <w:rsid w:val="00BB301A"/>
    <w:rsid w:val="00BB33B5"/>
    <w:rsid w:val="00BB45C0"/>
    <w:rsid w:val="00BB50B9"/>
    <w:rsid w:val="00BB54DA"/>
    <w:rsid w:val="00BB554A"/>
    <w:rsid w:val="00BB571A"/>
    <w:rsid w:val="00BB576B"/>
    <w:rsid w:val="00BB5877"/>
    <w:rsid w:val="00BB5C57"/>
    <w:rsid w:val="00BB5D2B"/>
    <w:rsid w:val="00BB6753"/>
    <w:rsid w:val="00BB67E8"/>
    <w:rsid w:val="00BB7978"/>
    <w:rsid w:val="00BC051E"/>
    <w:rsid w:val="00BC13C1"/>
    <w:rsid w:val="00BC281D"/>
    <w:rsid w:val="00BC484A"/>
    <w:rsid w:val="00BC4884"/>
    <w:rsid w:val="00BC4D47"/>
    <w:rsid w:val="00BC502B"/>
    <w:rsid w:val="00BC5A35"/>
    <w:rsid w:val="00BC5F02"/>
    <w:rsid w:val="00BC6373"/>
    <w:rsid w:val="00BC666C"/>
    <w:rsid w:val="00BC667A"/>
    <w:rsid w:val="00BC6D8A"/>
    <w:rsid w:val="00BC7657"/>
    <w:rsid w:val="00BC774B"/>
    <w:rsid w:val="00BD0392"/>
    <w:rsid w:val="00BD03C5"/>
    <w:rsid w:val="00BD09BE"/>
    <w:rsid w:val="00BD1070"/>
    <w:rsid w:val="00BD144F"/>
    <w:rsid w:val="00BD1B64"/>
    <w:rsid w:val="00BD1B83"/>
    <w:rsid w:val="00BD219F"/>
    <w:rsid w:val="00BD2BA2"/>
    <w:rsid w:val="00BD344D"/>
    <w:rsid w:val="00BD378B"/>
    <w:rsid w:val="00BD37F6"/>
    <w:rsid w:val="00BD40C6"/>
    <w:rsid w:val="00BD492A"/>
    <w:rsid w:val="00BD51F7"/>
    <w:rsid w:val="00BD53C6"/>
    <w:rsid w:val="00BD6A8B"/>
    <w:rsid w:val="00BD6B7C"/>
    <w:rsid w:val="00BD71C6"/>
    <w:rsid w:val="00BD7E84"/>
    <w:rsid w:val="00BE00EA"/>
    <w:rsid w:val="00BE0BF9"/>
    <w:rsid w:val="00BE130F"/>
    <w:rsid w:val="00BE174A"/>
    <w:rsid w:val="00BE2363"/>
    <w:rsid w:val="00BE3568"/>
    <w:rsid w:val="00BE3CE2"/>
    <w:rsid w:val="00BE48BC"/>
    <w:rsid w:val="00BE5B95"/>
    <w:rsid w:val="00BE5ED1"/>
    <w:rsid w:val="00BE628C"/>
    <w:rsid w:val="00BE63A8"/>
    <w:rsid w:val="00BE6F45"/>
    <w:rsid w:val="00BE7C57"/>
    <w:rsid w:val="00BE7CC7"/>
    <w:rsid w:val="00BF0705"/>
    <w:rsid w:val="00BF0B5F"/>
    <w:rsid w:val="00BF0ECA"/>
    <w:rsid w:val="00BF1A4D"/>
    <w:rsid w:val="00BF2681"/>
    <w:rsid w:val="00BF2F95"/>
    <w:rsid w:val="00BF3617"/>
    <w:rsid w:val="00BF4356"/>
    <w:rsid w:val="00BF496C"/>
    <w:rsid w:val="00BF49FC"/>
    <w:rsid w:val="00BF5036"/>
    <w:rsid w:val="00BF5B83"/>
    <w:rsid w:val="00C009E1"/>
    <w:rsid w:val="00C00CA2"/>
    <w:rsid w:val="00C01366"/>
    <w:rsid w:val="00C013EF"/>
    <w:rsid w:val="00C015F7"/>
    <w:rsid w:val="00C02E01"/>
    <w:rsid w:val="00C02E05"/>
    <w:rsid w:val="00C03886"/>
    <w:rsid w:val="00C04AF2"/>
    <w:rsid w:val="00C05686"/>
    <w:rsid w:val="00C05AD9"/>
    <w:rsid w:val="00C060F5"/>
    <w:rsid w:val="00C0625A"/>
    <w:rsid w:val="00C06448"/>
    <w:rsid w:val="00C07487"/>
    <w:rsid w:val="00C07549"/>
    <w:rsid w:val="00C07A09"/>
    <w:rsid w:val="00C10960"/>
    <w:rsid w:val="00C10D49"/>
    <w:rsid w:val="00C116A0"/>
    <w:rsid w:val="00C118E6"/>
    <w:rsid w:val="00C11AC1"/>
    <w:rsid w:val="00C11D4A"/>
    <w:rsid w:val="00C11E54"/>
    <w:rsid w:val="00C12069"/>
    <w:rsid w:val="00C123EC"/>
    <w:rsid w:val="00C12694"/>
    <w:rsid w:val="00C12FC8"/>
    <w:rsid w:val="00C1360F"/>
    <w:rsid w:val="00C14277"/>
    <w:rsid w:val="00C14451"/>
    <w:rsid w:val="00C14A41"/>
    <w:rsid w:val="00C15823"/>
    <w:rsid w:val="00C16ECB"/>
    <w:rsid w:val="00C1703F"/>
    <w:rsid w:val="00C17655"/>
    <w:rsid w:val="00C17D63"/>
    <w:rsid w:val="00C20571"/>
    <w:rsid w:val="00C20F2D"/>
    <w:rsid w:val="00C214F0"/>
    <w:rsid w:val="00C216B3"/>
    <w:rsid w:val="00C21837"/>
    <w:rsid w:val="00C21930"/>
    <w:rsid w:val="00C22C1A"/>
    <w:rsid w:val="00C23152"/>
    <w:rsid w:val="00C236B2"/>
    <w:rsid w:val="00C24148"/>
    <w:rsid w:val="00C2474F"/>
    <w:rsid w:val="00C250C4"/>
    <w:rsid w:val="00C255C9"/>
    <w:rsid w:val="00C25C9E"/>
    <w:rsid w:val="00C25D9D"/>
    <w:rsid w:val="00C25F46"/>
    <w:rsid w:val="00C26C80"/>
    <w:rsid w:val="00C27508"/>
    <w:rsid w:val="00C27601"/>
    <w:rsid w:val="00C30C7D"/>
    <w:rsid w:val="00C310ED"/>
    <w:rsid w:val="00C316B1"/>
    <w:rsid w:val="00C32CFC"/>
    <w:rsid w:val="00C32FAA"/>
    <w:rsid w:val="00C33C87"/>
    <w:rsid w:val="00C33E49"/>
    <w:rsid w:val="00C34219"/>
    <w:rsid w:val="00C345E8"/>
    <w:rsid w:val="00C345F2"/>
    <w:rsid w:val="00C351A9"/>
    <w:rsid w:val="00C352E1"/>
    <w:rsid w:val="00C35945"/>
    <w:rsid w:val="00C35D3E"/>
    <w:rsid w:val="00C36711"/>
    <w:rsid w:val="00C36F15"/>
    <w:rsid w:val="00C37999"/>
    <w:rsid w:val="00C40100"/>
    <w:rsid w:val="00C41064"/>
    <w:rsid w:val="00C42270"/>
    <w:rsid w:val="00C42338"/>
    <w:rsid w:val="00C42DB3"/>
    <w:rsid w:val="00C435B8"/>
    <w:rsid w:val="00C43638"/>
    <w:rsid w:val="00C439F2"/>
    <w:rsid w:val="00C43CA4"/>
    <w:rsid w:val="00C43DB6"/>
    <w:rsid w:val="00C43E03"/>
    <w:rsid w:val="00C4463F"/>
    <w:rsid w:val="00C44698"/>
    <w:rsid w:val="00C451C7"/>
    <w:rsid w:val="00C453DE"/>
    <w:rsid w:val="00C45475"/>
    <w:rsid w:val="00C45953"/>
    <w:rsid w:val="00C45A6A"/>
    <w:rsid w:val="00C45FE4"/>
    <w:rsid w:val="00C47593"/>
    <w:rsid w:val="00C514D0"/>
    <w:rsid w:val="00C51E50"/>
    <w:rsid w:val="00C52180"/>
    <w:rsid w:val="00C526CE"/>
    <w:rsid w:val="00C52A3D"/>
    <w:rsid w:val="00C5349A"/>
    <w:rsid w:val="00C5382B"/>
    <w:rsid w:val="00C540F3"/>
    <w:rsid w:val="00C54B1D"/>
    <w:rsid w:val="00C5550B"/>
    <w:rsid w:val="00C5579F"/>
    <w:rsid w:val="00C55F33"/>
    <w:rsid w:val="00C563E8"/>
    <w:rsid w:val="00C56968"/>
    <w:rsid w:val="00C56EFD"/>
    <w:rsid w:val="00C579C7"/>
    <w:rsid w:val="00C57F60"/>
    <w:rsid w:val="00C60110"/>
    <w:rsid w:val="00C61035"/>
    <w:rsid w:val="00C61427"/>
    <w:rsid w:val="00C6162B"/>
    <w:rsid w:val="00C61DD0"/>
    <w:rsid w:val="00C62572"/>
    <w:rsid w:val="00C62AC3"/>
    <w:rsid w:val="00C632A6"/>
    <w:rsid w:val="00C64610"/>
    <w:rsid w:val="00C6470C"/>
    <w:rsid w:val="00C654DC"/>
    <w:rsid w:val="00C66489"/>
    <w:rsid w:val="00C66527"/>
    <w:rsid w:val="00C66871"/>
    <w:rsid w:val="00C66AE2"/>
    <w:rsid w:val="00C6761C"/>
    <w:rsid w:val="00C67CB5"/>
    <w:rsid w:val="00C70703"/>
    <w:rsid w:val="00C72D59"/>
    <w:rsid w:val="00C73573"/>
    <w:rsid w:val="00C736DD"/>
    <w:rsid w:val="00C738B7"/>
    <w:rsid w:val="00C73947"/>
    <w:rsid w:val="00C741E9"/>
    <w:rsid w:val="00C7463A"/>
    <w:rsid w:val="00C747B9"/>
    <w:rsid w:val="00C752AA"/>
    <w:rsid w:val="00C752E2"/>
    <w:rsid w:val="00C77484"/>
    <w:rsid w:val="00C80220"/>
    <w:rsid w:val="00C810B3"/>
    <w:rsid w:val="00C8164C"/>
    <w:rsid w:val="00C81CBF"/>
    <w:rsid w:val="00C81F88"/>
    <w:rsid w:val="00C821A1"/>
    <w:rsid w:val="00C82345"/>
    <w:rsid w:val="00C824A8"/>
    <w:rsid w:val="00C82725"/>
    <w:rsid w:val="00C829D6"/>
    <w:rsid w:val="00C82B00"/>
    <w:rsid w:val="00C82C43"/>
    <w:rsid w:val="00C83226"/>
    <w:rsid w:val="00C83333"/>
    <w:rsid w:val="00C83BD5"/>
    <w:rsid w:val="00C83CA8"/>
    <w:rsid w:val="00C84995"/>
    <w:rsid w:val="00C84CD6"/>
    <w:rsid w:val="00C8556A"/>
    <w:rsid w:val="00C8664B"/>
    <w:rsid w:val="00C866DA"/>
    <w:rsid w:val="00C8675F"/>
    <w:rsid w:val="00C86A87"/>
    <w:rsid w:val="00C86F29"/>
    <w:rsid w:val="00C87D22"/>
    <w:rsid w:val="00C87F8E"/>
    <w:rsid w:val="00C91349"/>
    <w:rsid w:val="00C919F2"/>
    <w:rsid w:val="00C91B0E"/>
    <w:rsid w:val="00C91BF5"/>
    <w:rsid w:val="00C93131"/>
    <w:rsid w:val="00C9385B"/>
    <w:rsid w:val="00C94FB4"/>
    <w:rsid w:val="00C97D80"/>
    <w:rsid w:val="00C97EC0"/>
    <w:rsid w:val="00CA0260"/>
    <w:rsid w:val="00CA17B0"/>
    <w:rsid w:val="00CA17C1"/>
    <w:rsid w:val="00CA2506"/>
    <w:rsid w:val="00CA2939"/>
    <w:rsid w:val="00CA2E74"/>
    <w:rsid w:val="00CA4617"/>
    <w:rsid w:val="00CA4753"/>
    <w:rsid w:val="00CA4972"/>
    <w:rsid w:val="00CA5133"/>
    <w:rsid w:val="00CA6FEA"/>
    <w:rsid w:val="00CA70BF"/>
    <w:rsid w:val="00CA732F"/>
    <w:rsid w:val="00CA73FD"/>
    <w:rsid w:val="00CB0CB7"/>
    <w:rsid w:val="00CB0E1C"/>
    <w:rsid w:val="00CB1760"/>
    <w:rsid w:val="00CB18B3"/>
    <w:rsid w:val="00CB218A"/>
    <w:rsid w:val="00CB26BB"/>
    <w:rsid w:val="00CB2882"/>
    <w:rsid w:val="00CB2D60"/>
    <w:rsid w:val="00CB4F38"/>
    <w:rsid w:val="00CB539B"/>
    <w:rsid w:val="00CB6428"/>
    <w:rsid w:val="00CB733A"/>
    <w:rsid w:val="00CB7757"/>
    <w:rsid w:val="00CC0561"/>
    <w:rsid w:val="00CC0A20"/>
    <w:rsid w:val="00CC0B32"/>
    <w:rsid w:val="00CC1B80"/>
    <w:rsid w:val="00CC22CB"/>
    <w:rsid w:val="00CC2335"/>
    <w:rsid w:val="00CC2589"/>
    <w:rsid w:val="00CC314B"/>
    <w:rsid w:val="00CC388B"/>
    <w:rsid w:val="00CC39AA"/>
    <w:rsid w:val="00CC39FF"/>
    <w:rsid w:val="00CC3B56"/>
    <w:rsid w:val="00CC402F"/>
    <w:rsid w:val="00CC56E1"/>
    <w:rsid w:val="00CC58AB"/>
    <w:rsid w:val="00CC58B3"/>
    <w:rsid w:val="00CC5F7F"/>
    <w:rsid w:val="00CC69F7"/>
    <w:rsid w:val="00CC77AC"/>
    <w:rsid w:val="00CC7A16"/>
    <w:rsid w:val="00CD025C"/>
    <w:rsid w:val="00CD0977"/>
    <w:rsid w:val="00CD0A42"/>
    <w:rsid w:val="00CD17EE"/>
    <w:rsid w:val="00CD1F81"/>
    <w:rsid w:val="00CD1F85"/>
    <w:rsid w:val="00CD30C2"/>
    <w:rsid w:val="00CD3304"/>
    <w:rsid w:val="00CD37E5"/>
    <w:rsid w:val="00CD3EAE"/>
    <w:rsid w:val="00CD4F6F"/>
    <w:rsid w:val="00CD529D"/>
    <w:rsid w:val="00CD5E5E"/>
    <w:rsid w:val="00CD6195"/>
    <w:rsid w:val="00CD68AB"/>
    <w:rsid w:val="00CD6AD0"/>
    <w:rsid w:val="00CD7335"/>
    <w:rsid w:val="00CD7504"/>
    <w:rsid w:val="00CD7B23"/>
    <w:rsid w:val="00CD7C85"/>
    <w:rsid w:val="00CE0CEC"/>
    <w:rsid w:val="00CE1068"/>
    <w:rsid w:val="00CE107D"/>
    <w:rsid w:val="00CE116B"/>
    <w:rsid w:val="00CE174B"/>
    <w:rsid w:val="00CE1883"/>
    <w:rsid w:val="00CE1DC2"/>
    <w:rsid w:val="00CE25C7"/>
    <w:rsid w:val="00CE3551"/>
    <w:rsid w:val="00CE383F"/>
    <w:rsid w:val="00CE404D"/>
    <w:rsid w:val="00CE4A70"/>
    <w:rsid w:val="00CE4BB2"/>
    <w:rsid w:val="00CE4D9F"/>
    <w:rsid w:val="00CE5390"/>
    <w:rsid w:val="00CE5481"/>
    <w:rsid w:val="00CE59D5"/>
    <w:rsid w:val="00CE601B"/>
    <w:rsid w:val="00CE6FB0"/>
    <w:rsid w:val="00CE7130"/>
    <w:rsid w:val="00CE74A1"/>
    <w:rsid w:val="00CE785C"/>
    <w:rsid w:val="00CE7D58"/>
    <w:rsid w:val="00CF0814"/>
    <w:rsid w:val="00CF0EDD"/>
    <w:rsid w:val="00CF1735"/>
    <w:rsid w:val="00CF1AE1"/>
    <w:rsid w:val="00CF1B66"/>
    <w:rsid w:val="00CF20B1"/>
    <w:rsid w:val="00CF2219"/>
    <w:rsid w:val="00CF2828"/>
    <w:rsid w:val="00CF46E9"/>
    <w:rsid w:val="00CF4CD1"/>
    <w:rsid w:val="00CF523C"/>
    <w:rsid w:val="00CF78A4"/>
    <w:rsid w:val="00CF7DEB"/>
    <w:rsid w:val="00D007C4"/>
    <w:rsid w:val="00D00DA5"/>
    <w:rsid w:val="00D010C4"/>
    <w:rsid w:val="00D01983"/>
    <w:rsid w:val="00D0204F"/>
    <w:rsid w:val="00D02165"/>
    <w:rsid w:val="00D02D30"/>
    <w:rsid w:val="00D04DBC"/>
    <w:rsid w:val="00D04F49"/>
    <w:rsid w:val="00D055A0"/>
    <w:rsid w:val="00D055FB"/>
    <w:rsid w:val="00D0674E"/>
    <w:rsid w:val="00D06C3B"/>
    <w:rsid w:val="00D06C4D"/>
    <w:rsid w:val="00D07894"/>
    <w:rsid w:val="00D0793F"/>
    <w:rsid w:val="00D10072"/>
    <w:rsid w:val="00D117B3"/>
    <w:rsid w:val="00D11A13"/>
    <w:rsid w:val="00D1364B"/>
    <w:rsid w:val="00D13802"/>
    <w:rsid w:val="00D138E0"/>
    <w:rsid w:val="00D13970"/>
    <w:rsid w:val="00D142E5"/>
    <w:rsid w:val="00D14356"/>
    <w:rsid w:val="00D14377"/>
    <w:rsid w:val="00D147BA"/>
    <w:rsid w:val="00D149CD"/>
    <w:rsid w:val="00D14D82"/>
    <w:rsid w:val="00D1531B"/>
    <w:rsid w:val="00D15BF8"/>
    <w:rsid w:val="00D15FF4"/>
    <w:rsid w:val="00D169FC"/>
    <w:rsid w:val="00D176C3"/>
    <w:rsid w:val="00D2096E"/>
    <w:rsid w:val="00D21181"/>
    <w:rsid w:val="00D21229"/>
    <w:rsid w:val="00D21600"/>
    <w:rsid w:val="00D21AD5"/>
    <w:rsid w:val="00D2263C"/>
    <w:rsid w:val="00D23B3E"/>
    <w:rsid w:val="00D24560"/>
    <w:rsid w:val="00D24BDF"/>
    <w:rsid w:val="00D2501B"/>
    <w:rsid w:val="00D2559F"/>
    <w:rsid w:val="00D25893"/>
    <w:rsid w:val="00D25A4F"/>
    <w:rsid w:val="00D25B51"/>
    <w:rsid w:val="00D25EAA"/>
    <w:rsid w:val="00D2688A"/>
    <w:rsid w:val="00D268A0"/>
    <w:rsid w:val="00D26B96"/>
    <w:rsid w:val="00D26E27"/>
    <w:rsid w:val="00D2741E"/>
    <w:rsid w:val="00D2766F"/>
    <w:rsid w:val="00D276B4"/>
    <w:rsid w:val="00D27915"/>
    <w:rsid w:val="00D27BF4"/>
    <w:rsid w:val="00D27FF5"/>
    <w:rsid w:val="00D3009D"/>
    <w:rsid w:val="00D30210"/>
    <w:rsid w:val="00D307B3"/>
    <w:rsid w:val="00D31490"/>
    <w:rsid w:val="00D3159B"/>
    <w:rsid w:val="00D320D0"/>
    <w:rsid w:val="00D323B0"/>
    <w:rsid w:val="00D32537"/>
    <w:rsid w:val="00D3292C"/>
    <w:rsid w:val="00D32B96"/>
    <w:rsid w:val="00D331BA"/>
    <w:rsid w:val="00D33311"/>
    <w:rsid w:val="00D3398B"/>
    <w:rsid w:val="00D33990"/>
    <w:rsid w:val="00D339DE"/>
    <w:rsid w:val="00D344A5"/>
    <w:rsid w:val="00D34877"/>
    <w:rsid w:val="00D3541B"/>
    <w:rsid w:val="00D3754C"/>
    <w:rsid w:val="00D37942"/>
    <w:rsid w:val="00D40860"/>
    <w:rsid w:val="00D4181E"/>
    <w:rsid w:val="00D42760"/>
    <w:rsid w:val="00D42E5F"/>
    <w:rsid w:val="00D43285"/>
    <w:rsid w:val="00D43A66"/>
    <w:rsid w:val="00D43B2F"/>
    <w:rsid w:val="00D43F9A"/>
    <w:rsid w:val="00D447E8"/>
    <w:rsid w:val="00D4528A"/>
    <w:rsid w:val="00D45AB2"/>
    <w:rsid w:val="00D45F03"/>
    <w:rsid w:val="00D464C8"/>
    <w:rsid w:val="00D46D0C"/>
    <w:rsid w:val="00D5020D"/>
    <w:rsid w:val="00D50427"/>
    <w:rsid w:val="00D504FA"/>
    <w:rsid w:val="00D50FB8"/>
    <w:rsid w:val="00D51463"/>
    <w:rsid w:val="00D51FAF"/>
    <w:rsid w:val="00D52B53"/>
    <w:rsid w:val="00D53247"/>
    <w:rsid w:val="00D53CA9"/>
    <w:rsid w:val="00D53FAA"/>
    <w:rsid w:val="00D5410A"/>
    <w:rsid w:val="00D54142"/>
    <w:rsid w:val="00D54920"/>
    <w:rsid w:val="00D54F3D"/>
    <w:rsid w:val="00D5629F"/>
    <w:rsid w:val="00D5701E"/>
    <w:rsid w:val="00D5794F"/>
    <w:rsid w:val="00D57955"/>
    <w:rsid w:val="00D57DEF"/>
    <w:rsid w:val="00D60066"/>
    <w:rsid w:val="00D6113E"/>
    <w:rsid w:val="00D61F92"/>
    <w:rsid w:val="00D6217A"/>
    <w:rsid w:val="00D6261E"/>
    <w:rsid w:val="00D62B35"/>
    <w:rsid w:val="00D62B4E"/>
    <w:rsid w:val="00D634CD"/>
    <w:rsid w:val="00D6351D"/>
    <w:rsid w:val="00D63773"/>
    <w:rsid w:val="00D645A1"/>
    <w:rsid w:val="00D64FDC"/>
    <w:rsid w:val="00D65660"/>
    <w:rsid w:val="00D65EC1"/>
    <w:rsid w:val="00D65EC9"/>
    <w:rsid w:val="00D66410"/>
    <w:rsid w:val="00D66C0E"/>
    <w:rsid w:val="00D676DD"/>
    <w:rsid w:val="00D67CC3"/>
    <w:rsid w:val="00D67D76"/>
    <w:rsid w:val="00D7029B"/>
    <w:rsid w:val="00D704F7"/>
    <w:rsid w:val="00D7050A"/>
    <w:rsid w:val="00D7099D"/>
    <w:rsid w:val="00D70C55"/>
    <w:rsid w:val="00D7129B"/>
    <w:rsid w:val="00D71896"/>
    <w:rsid w:val="00D723D8"/>
    <w:rsid w:val="00D728A7"/>
    <w:rsid w:val="00D72E2B"/>
    <w:rsid w:val="00D7309D"/>
    <w:rsid w:val="00D73643"/>
    <w:rsid w:val="00D73A32"/>
    <w:rsid w:val="00D73A3C"/>
    <w:rsid w:val="00D73B54"/>
    <w:rsid w:val="00D74507"/>
    <w:rsid w:val="00D7513A"/>
    <w:rsid w:val="00D761A3"/>
    <w:rsid w:val="00D7648D"/>
    <w:rsid w:val="00D769FE"/>
    <w:rsid w:val="00D76C8B"/>
    <w:rsid w:val="00D76CAD"/>
    <w:rsid w:val="00D77002"/>
    <w:rsid w:val="00D773E6"/>
    <w:rsid w:val="00D80175"/>
    <w:rsid w:val="00D803A4"/>
    <w:rsid w:val="00D803FE"/>
    <w:rsid w:val="00D805D3"/>
    <w:rsid w:val="00D80BB0"/>
    <w:rsid w:val="00D81069"/>
    <w:rsid w:val="00D810A7"/>
    <w:rsid w:val="00D8125D"/>
    <w:rsid w:val="00D81543"/>
    <w:rsid w:val="00D81DDA"/>
    <w:rsid w:val="00D820B0"/>
    <w:rsid w:val="00D82623"/>
    <w:rsid w:val="00D8263C"/>
    <w:rsid w:val="00D82DF8"/>
    <w:rsid w:val="00D84360"/>
    <w:rsid w:val="00D843AB"/>
    <w:rsid w:val="00D84CA9"/>
    <w:rsid w:val="00D84FFB"/>
    <w:rsid w:val="00D86B35"/>
    <w:rsid w:val="00D87A8C"/>
    <w:rsid w:val="00D90920"/>
    <w:rsid w:val="00D90B09"/>
    <w:rsid w:val="00D91547"/>
    <w:rsid w:val="00D922E1"/>
    <w:rsid w:val="00D93844"/>
    <w:rsid w:val="00D939BF"/>
    <w:rsid w:val="00D94078"/>
    <w:rsid w:val="00D9411D"/>
    <w:rsid w:val="00D943BB"/>
    <w:rsid w:val="00D94809"/>
    <w:rsid w:val="00D948E8"/>
    <w:rsid w:val="00D94AB3"/>
    <w:rsid w:val="00D94D10"/>
    <w:rsid w:val="00D95220"/>
    <w:rsid w:val="00D95C20"/>
    <w:rsid w:val="00D9781F"/>
    <w:rsid w:val="00D97CF7"/>
    <w:rsid w:val="00D97FBD"/>
    <w:rsid w:val="00DA0071"/>
    <w:rsid w:val="00DA0817"/>
    <w:rsid w:val="00DA0F8A"/>
    <w:rsid w:val="00DA0F9C"/>
    <w:rsid w:val="00DA1073"/>
    <w:rsid w:val="00DA1B3E"/>
    <w:rsid w:val="00DA1B8A"/>
    <w:rsid w:val="00DA1C4A"/>
    <w:rsid w:val="00DA2104"/>
    <w:rsid w:val="00DA216D"/>
    <w:rsid w:val="00DA2D79"/>
    <w:rsid w:val="00DA2F50"/>
    <w:rsid w:val="00DA32EB"/>
    <w:rsid w:val="00DA39E6"/>
    <w:rsid w:val="00DA3ADA"/>
    <w:rsid w:val="00DA3FAA"/>
    <w:rsid w:val="00DA4099"/>
    <w:rsid w:val="00DA4653"/>
    <w:rsid w:val="00DA4853"/>
    <w:rsid w:val="00DA5D4A"/>
    <w:rsid w:val="00DA69A3"/>
    <w:rsid w:val="00DA7F12"/>
    <w:rsid w:val="00DB0B0D"/>
    <w:rsid w:val="00DB15CA"/>
    <w:rsid w:val="00DB17C9"/>
    <w:rsid w:val="00DB29A1"/>
    <w:rsid w:val="00DB31AA"/>
    <w:rsid w:val="00DB366C"/>
    <w:rsid w:val="00DB44C2"/>
    <w:rsid w:val="00DB5CDF"/>
    <w:rsid w:val="00DB6103"/>
    <w:rsid w:val="00DB6383"/>
    <w:rsid w:val="00DB638B"/>
    <w:rsid w:val="00DB64A5"/>
    <w:rsid w:val="00DB677D"/>
    <w:rsid w:val="00DB6969"/>
    <w:rsid w:val="00DB7999"/>
    <w:rsid w:val="00DB7F3C"/>
    <w:rsid w:val="00DC0228"/>
    <w:rsid w:val="00DC0372"/>
    <w:rsid w:val="00DC079E"/>
    <w:rsid w:val="00DC104D"/>
    <w:rsid w:val="00DC13E7"/>
    <w:rsid w:val="00DC1D27"/>
    <w:rsid w:val="00DC21D1"/>
    <w:rsid w:val="00DC342C"/>
    <w:rsid w:val="00DC4146"/>
    <w:rsid w:val="00DC4250"/>
    <w:rsid w:val="00DC5482"/>
    <w:rsid w:val="00DC569F"/>
    <w:rsid w:val="00DC63C3"/>
    <w:rsid w:val="00DC721B"/>
    <w:rsid w:val="00DC727F"/>
    <w:rsid w:val="00DD0271"/>
    <w:rsid w:val="00DD12EA"/>
    <w:rsid w:val="00DD1B3D"/>
    <w:rsid w:val="00DD2271"/>
    <w:rsid w:val="00DD35EF"/>
    <w:rsid w:val="00DD3860"/>
    <w:rsid w:val="00DD42D0"/>
    <w:rsid w:val="00DD484B"/>
    <w:rsid w:val="00DD4CFD"/>
    <w:rsid w:val="00DD4E21"/>
    <w:rsid w:val="00DD58FC"/>
    <w:rsid w:val="00DD69BF"/>
    <w:rsid w:val="00DD6D5D"/>
    <w:rsid w:val="00DD75DE"/>
    <w:rsid w:val="00DD7D10"/>
    <w:rsid w:val="00DE0251"/>
    <w:rsid w:val="00DE045E"/>
    <w:rsid w:val="00DE0475"/>
    <w:rsid w:val="00DE07BE"/>
    <w:rsid w:val="00DE1CB3"/>
    <w:rsid w:val="00DE21FC"/>
    <w:rsid w:val="00DE3132"/>
    <w:rsid w:val="00DE3E82"/>
    <w:rsid w:val="00DE46D0"/>
    <w:rsid w:val="00DE4920"/>
    <w:rsid w:val="00DE5072"/>
    <w:rsid w:val="00DE50F0"/>
    <w:rsid w:val="00DE5217"/>
    <w:rsid w:val="00DE5A41"/>
    <w:rsid w:val="00DE5B33"/>
    <w:rsid w:val="00DE5B44"/>
    <w:rsid w:val="00DE66A0"/>
    <w:rsid w:val="00DE67A9"/>
    <w:rsid w:val="00DE715B"/>
    <w:rsid w:val="00DE782F"/>
    <w:rsid w:val="00DE7959"/>
    <w:rsid w:val="00DF0107"/>
    <w:rsid w:val="00DF0D43"/>
    <w:rsid w:val="00DF1A69"/>
    <w:rsid w:val="00DF28B3"/>
    <w:rsid w:val="00DF37EB"/>
    <w:rsid w:val="00DF4939"/>
    <w:rsid w:val="00DF5A3B"/>
    <w:rsid w:val="00DF5FE2"/>
    <w:rsid w:val="00DF6678"/>
    <w:rsid w:val="00DF66B0"/>
    <w:rsid w:val="00DF6AEF"/>
    <w:rsid w:val="00DF6E3D"/>
    <w:rsid w:val="00DF763C"/>
    <w:rsid w:val="00DF7C5D"/>
    <w:rsid w:val="00E0052B"/>
    <w:rsid w:val="00E01147"/>
    <w:rsid w:val="00E01DAD"/>
    <w:rsid w:val="00E031B3"/>
    <w:rsid w:val="00E03679"/>
    <w:rsid w:val="00E03F7B"/>
    <w:rsid w:val="00E04482"/>
    <w:rsid w:val="00E044AD"/>
    <w:rsid w:val="00E048D4"/>
    <w:rsid w:val="00E0553E"/>
    <w:rsid w:val="00E06410"/>
    <w:rsid w:val="00E06613"/>
    <w:rsid w:val="00E06B85"/>
    <w:rsid w:val="00E06CFE"/>
    <w:rsid w:val="00E06DAF"/>
    <w:rsid w:val="00E06E41"/>
    <w:rsid w:val="00E07031"/>
    <w:rsid w:val="00E102FA"/>
    <w:rsid w:val="00E11BDC"/>
    <w:rsid w:val="00E1254B"/>
    <w:rsid w:val="00E13200"/>
    <w:rsid w:val="00E1424D"/>
    <w:rsid w:val="00E149F4"/>
    <w:rsid w:val="00E15383"/>
    <w:rsid w:val="00E15510"/>
    <w:rsid w:val="00E1576F"/>
    <w:rsid w:val="00E15FCD"/>
    <w:rsid w:val="00E16F81"/>
    <w:rsid w:val="00E16FEC"/>
    <w:rsid w:val="00E17474"/>
    <w:rsid w:val="00E179DF"/>
    <w:rsid w:val="00E22616"/>
    <w:rsid w:val="00E228B0"/>
    <w:rsid w:val="00E2290E"/>
    <w:rsid w:val="00E23E4E"/>
    <w:rsid w:val="00E24DB1"/>
    <w:rsid w:val="00E251FF"/>
    <w:rsid w:val="00E26B91"/>
    <w:rsid w:val="00E26C3B"/>
    <w:rsid w:val="00E271E3"/>
    <w:rsid w:val="00E273D8"/>
    <w:rsid w:val="00E273FA"/>
    <w:rsid w:val="00E274F0"/>
    <w:rsid w:val="00E278C4"/>
    <w:rsid w:val="00E27BE1"/>
    <w:rsid w:val="00E27D05"/>
    <w:rsid w:val="00E3029A"/>
    <w:rsid w:val="00E303A8"/>
    <w:rsid w:val="00E319E4"/>
    <w:rsid w:val="00E31BB4"/>
    <w:rsid w:val="00E322C7"/>
    <w:rsid w:val="00E32E7C"/>
    <w:rsid w:val="00E33B1F"/>
    <w:rsid w:val="00E34227"/>
    <w:rsid w:val="00E3438E"/>
    <w:rsid w:val="00E3527D"/>
    <w:rsid w:val="00E35B40"/>
    <w:rsid w:val="00E360D9"/>
    <w:rsid w:val="00E365A7"/>
    <w:rsid w:val="00E37F94"/>
    <w:rsid w:val="00E40213"/>
    <w:rsid w:val="00E40420"/>
    <w:rsid w:val="00E404D3"/>
    <w:rsid w:val="00E40D7E"/>
    <w:rsid w:val="00E418E3"/>
    <w:rsid w:val="00E425B1"/>
    <w:rsid w:val="00E42B27"/>
    <w:rsid w:val="00E42C97"/>
    <w:rsid w:val="00E43256"/>
    <w:rsid w:val="00E43A3F"/>
    <w:rsid w:val="00E44240"/>
    <w:rsid w:val="00E44B28"/>
    <w:rsid w:val="00E4500E"/>
    <w:rsid w:val="00E454CB"/>
    <w:rsid w:val="00E45A1C"/>
    <w:rsid w:val="00E4654A"/>
    <w:rsid w:val="00E46818"/>
    <w:rsid w:val="00E468F7"/>
    <w:rsid w:val="00E476C7"/>
    <w:rsid w:val="00E50432"/>
    <w:rsid w:val="00E5074E"/>
    <w:rsid w:val="00E5187B"/>
    <w:rsid w:val="00E51DC0"/>
    <w:rsid w:val="00E51E99"/>
    <w:rsid w:val="00E51FE2"/>
    <w:rsid w:val="00E52F5E"/>
    <w:rsid w:val="00E533EE"/>
    <w:rsid w:val="00E5342A"/>
    <w:rsid w:val="00E54D29"/>
    <w:rsid w:val="00E55977"/>
    <w:rsid w:val="00E55A3A"/>
    <w:rsid w:val="00E55E99"/>
    <w:rsid w:val="00E5637E"/>
    <w:rsid w:val="00E5647B"/>
    <w:rsid w:val="00E5657E"/>
    <w:rsid w:val="00E56EA5"/>
    <w:rsid w:val="00E57421"/>
    <w:rsid w:val="00E5797B"/>
    <w:rsid w:val="00E6017B"/>
    <w:rsid w:val="00E607C1"/>
    <w:rsid w:val="00E60844"/>
    <w:rsid w:val="00E6099E"/>
    <w:rsid w:val="00E61502"/>
    <w:rsid w:val="00E6198A"/>
    <w:rsid w:val="00E619DA"/>
    <w:rsid w:val="00E622BD"/>
    <w:rsid w:val="00E629F9"/>
    <w:rsid w:val="00E62DE4"/>
    <w:rsid w:val="00E62E12"/>
    <w:rsid w:val="00E633E9"/>
    <w:rsid w:val="00E6346A"/>
    <w:rsid w:val="00E63959"/>
    <w:rsid w:val="00E6478A"/>
    <w:rsid w:val="00E64AB7"/>
    <w:rsid w:val="00E64ED5"/>
    <w:rsid w:val="00E66391"/>
    <w:rsid w:val="00E67C4B"/>
    <w:rsid w:val="00E67DE3"/>
    <w:rsid w:val="00E67FB2"/>
    <w:rsid w:val="00E705A2"/>
    <w:rsid w:val="00E70B6C"/>
    <w:rsid w:val="00E7112B"/>
    <w:rsid w:val="00E718A0"/>
    <w:rsid w:val="00E718F2"/>
    <w:rsid w:val="00E71A60"/>
    <w:rsid w:val="00E71AD7"/>
    <w:rsid w:val="00E71CCC"/>
    <w:rsid w:val="00E722D1"/>
    <w:rsid w:val="00E72C4A"/>
    <w:rsid w:val="00E732A9"/>
    <w:rsid w:val="00E73C98"/>
    <w:rsid w:val="00E73E60"/>
    <w:rsid w:val="00E743A5"/>
    <w:rsid w:val="00E74F7E"/>
    <w:rsid w:val="00E75717"/>
    <w:rsid w:val="00E75837"/>
    <w:rsid w:val="00E7739B"/>
    <w:rsid w:val="00E77E48"/>
    <w:rsid w:val="00E8064C"/>
    <w:rsid w:val="00E806AB"/>
    <w:rsid w:val="00E81DDF"/>
    <w:rsid w:val="00E82640"/>
    <w:rsid w:val="00E827F4"/>
    <w:rsid w:val="00E834CC"/>
    <w:rsid w:val="00E83737"/>
    <w:rsid w:val="00E84320"/>
    <w:rsid w:val="00E85E67"/>
    <w:rsid w:val="00E86AD0"/>
    <w:rsid w:val="00E87559"/>
    <w:rsid w:val="00E87801"/>
    <w:rsid w:val="00E90357"/>
    <w:rsid w:val="00E9041A"/>
    <w:rsid w:val="00E9052E"/>
    <w:rsid w:val="00E90611"/>
    <w:rsid w:val="00E908E4"/>
    <w:rsid w:val="00E90C2F"/>
    <w:rsid w:val="00E90C7D"/>
    <w:rsid w:val="00E915A6"/>
    <w:rsid w:val="00E917B0"/>
    <w:rsid w:val="00E9213F"/>
    <w:rsid w:val="00E92235"/>
    <w:rsid w:val="00E9238D"/>
    <w:rsid w:val="00E927DC"/>
    <w:rsid w:val="00E92BDA"/>
    <w:rsid w:val="00E93534"/>
    <w:rsid w:val="00E93D26"/>
    <w:rsid w:val="00E948D2"/>
    <w:rsid w:val="00E94B87"/>
    <w:rsid w:val="00E95235"/>
    <w:rsid w:val="00E95E8D"/>
    <w:rsid w:val="00E977DD"/>
    <w:rsid w:val="00EA2291"/>
    <w:rsid w:val="00EA2ACE"/>
    <w:rsid w:val="00EA2E7A"/>
    <w:rsid w:val="00EA3501"/>
    <w:rsid w:val="00EA3A02"/>
    <w:rsid w:val="00EA3B9E"/>
    <w:rsid w:val="00EA3CEE"/>
    <w:rsid w:val="00EA3E7A"/>
    <w:rsid w:val="00EA439E"/>
    <w:rsid w:val="00EA49CB"/>
    <w:rsid w:val="00EA49E8"/>
    <w:rsid w:val="00EA4FF6"/>
    <w:rsid w:val="00EA564A"/>
    <w:rsid w:val="00EA6048"/>
    <w:rsid w:val="00EA623E"/>
    <w:rsid w:val="00EA624E"/>
    <w:rsid w:val="00EA69F9"/>
    <w:rsid w:val="00EB0D27"/>
    <w:rsid w:val="00EB1021"/>
    <w:rsid w:val="00EB1140"/>
    <w:rsid w:val="00EB11F9"/>
    <w:rsid w:val="00EB218A"/>
    <w:rsid w:val="00EB2388"/>
    <w:rsid w:val="00EB30C7"/>
    <w:rsid w:val="00EB417A"/>
    <w:rsid w:val="00EB4702"/>
    <w:rsid w:val="00EB4A62"/>
    <w:rsid w:val="00EB530B"/>
    <w:rsid w:val="00EB5484"/>
    <w:rsid w:val="00EB54F8"/>
    <w:rsid w:val="00EB6655"/>
    <w:rsid w:val="00EB67F2"/>
    <w:rsid w:val="00EB6EB7"/>
    <w:rsid w:val="00EC0CD4"/>
    <w:rsid w:val="00EC17E4"/>
    <w:rsid w:val="00EC1EED"/>
    <w:rsid w:val="00EC2CA7"/>
    <w:rsid w:val="00EC2CB0"/>
    <w:rsid w:val="00EC3EDD"/>
    <w:rsid w:val="00EC470F"/>
    <w:rsid w:val="00EC4719"/>
    <w:rsid w:val="00EC4868"/>
    <w:rsid w:val="00EC4905"/>
    <w:rsid w:val="00EC4B39"/>
    <w:rsid w:val="00EC5065"/>
    <w:rsid w:val="00EC7406"/>
    <w:rsid w:val="00EC7B3F"/>
    <w:rsid w:val="00ED0136"/>
    <w:rsid w:val="00ED06E7"/>
    <w:rsid w:val="00ED071E"/>
    <w:rsid w:val="00ED0B1D"/>
    <w:rsid w:val="00ED0B60"/>
    <w:rsid w:val="00ED0BCC"/>
    <w:rsid w:val="00ED0CC6"/>
    <w:rsid w:val="00ED0F95"/>
    <w:rsid w:val="00ED1361"/>
    <w:rsid w:val="00ED1D06"/>
    <w:rsid w:val="00ED281F"/>
    <w:rsid w:val="00ED3DFD"/>
    <w:rsid w:val="00ED4193"/>
    <w:rsid w:val="00ED43B6"/>
    <w:rsid w:val="00ED470A"/>
    <w:rsid w:val="00ED4D60"/>
    <w:rsid w:val="00ED4E61"/>
    <w:rsid w:val="00ED4FF5"/>
    <w:rsid w:val="00ED5D98"/>
    <w:rsid w:val="00ED5DC7"/>
    <w:rsid w:val="00ED62EA"/>
    <w:rsid w:val="00EE091A"/>
    <w:rsid w:val="00EE0B4E"/>
    <w:rsid w:val="00EE15CB"/>
    <w:rsid w:val="00EE2361"/>
    <w:rsid w:val="00EE23E4"/>
    <w:rsid w:val="00EE2506"/>
    <w:rsid w:val="00EE2847"/>
    <w:rsid w:val="00EE3246"/>
    <w:rsid w:val="00EE34D1"/>
    <w:rsid w:val="00EE3CB0"/>
    <w:rsid w:val="00EE3FC3"/>
    <w:rsid w:val="00EE4023"/>
    <w:rsid w:val="00EE405D"/>
    <w:rsid w:val="00EE5B5C"/>
    <w:rsid w:val="00EE6516"/>
    <w:rsid w:val="00EE7C71"/>
    <w:rsid w:val="00EE7CD5"/>
    <w:rsid w:val="00EF0BE0"/>
    <w:rsid w:val="00EF0E4F"/>
    <w:rsid w:val="00EF1192"/>
    <w:rsid w:val="00EF28E9"/>
    <w:rsid w:val="00EF2967"/>
    <w:rsid w:val="00EF4715"/>
    <w:rsid w:val="00EF7234"/>
    <w:rsid w:val="00EF7574"/>
    <w:rsid w:val="00F008A7"/>
    <w:rsid w:val="00F01090"/>
    <w:rsid w:val="00F012A3"/>
    <w:rsid w:val="00F01F05"/>
    <w:rsid w:val="00F0235C"/>
    <w:rsid w:val="00F02394"/>
    <w:rsid w:val="00F02A5A"/>
    <w:rsid w:val="00F02CED"/>
    <w:rsid w:val="00F032C9"/>
    <w:rsid w:val="00F04281"/>
    <w:rsid w:val="00F042C9"/>
    <w:rsid w:val="00F04300"/>
    <w:rsid w:val="00F04322"/>
    <w:rsid w:val="00F04FCB"/>
    <w:rsid w:val="00F05040"/>
    <w:rsid w:val="00F05E9D"/>
    <w:rsid w:val="00F065B2"/>
    <w:rsid w:val="00F079ED"/>
    <w:rsid w:val="00F109F9"/>
    <w:rsid w:val="00F10AB8"/>
    <w:rsid w:val="00F10DB5"/>
    <w:rsid w:val="00F11B39"/>
    <w:rsid w:val="00F12667"/>
    <w:rsid w:val="00F131B0"/>
    <w:rsid w:val="00F13E7F"/>
    <w:rsid w:val="00F140B0"/>
    <w:rsid w:val="00F140BF"/>
    <w:rsid w:val="00F15127"/>
    <w:rsid w:val="00F15CFB"/>
    <w:rsid w:val="00F1679B"/>
    <w:rsid w:val="00F1706B"/>
    <w:rsid w:val="00F21DCB"/>
    <w:rsid w:val="00F21EF5"/>
    <w:rsid w:val="00F22122"/>
    <w:rsid w:val="00F22507"/>
    <w:rsid w:val="00F23543"/>
    <w:rsid w:val="00F241E0"/>
    <w:rsid w:val="00F24878"/>
    <w:rsid w:val="00F24B5C"/>
    <w:rsid w:val="00F263EC"/>
    <w:rsid w:val="00F2683F"/>
    <w:rsid w:val="00F26C13"/>
    <w:rsid w:val="00F26D28"/>
    <w:rsid w:val="00F27806"/>
    <w:rsid w:val="00F27BCF"/>
    <w:rsid w:val="00F315FC"/>
    <w:rsid w:val="00F317A0"/>
    <w:rsid w:val="00F31846"/>
    <w:rsid w:val="00F31FD9"/>
    <w:rsid w:val="00F324D8"/>
    <w:rsid w:val="00F32FBA"/>
    <w:rsid w:val="00F33D00"/>
    <w:rsid w:val="00F344E0"/>
    <w:rsid w:val="00F349A9"/>
    <w:rsid w:val="00F35D2E"/>
    <w:rsid w:val="00F36170"/>
    <w:rsid w:val="00F36B02"/>
    <w:rsid w:val="00F375EA"/>
    <w:rsid w:val="00F3765E"/>
    <w:rsid w:val="00F3798A"/>
    <w:rsid w:val="00F401FA"/>
    <w:rsid w:val="00F40C2D"/>
    <w:rsid w:val="00F412EF"/>
    <w:rsid w:val="00F418C3"/>
    <w:rsid w:val="00F41F5A"/>
    <w:rsid w:val="00F43646"/>
    <w:rsid w:val="00F44181"/>
    <w:rsid w:val="00F44B89"/>
    <w:rsid w:val="00F44F90"/>
    <w:rsid w:val="00F451ED"/>
    <w:rsid w:val="00F45AD6"/>
    <w:rsid w:val="00F46100"/>
    <w:rsid w:val="00F46276"/>
    <w:rsid w:val="00F46538"/>
    <w:rsid w:val="00F46C3D"/>
    <w:rsid w:val="00F46ED8"/>
    <w:rsid w:val="00F47A70"/>
    <w:rsid w:val="00F47ED5"/>
    <w:rsid w:val="00F506FB"/>
    <w:rsid w:val="00F50706"/>
    <w:rsid w:val="00F509BC"/>
    <w:rsid w:val="00F509EC"/>
    <w:rsid w:val="00F521F8"/>
    <w:rsid w:val="00F52897"/>
    <w:rsid w:val="00F52B7B"/>
    <w:rsid w:val="00F52C32"/>
    <w:rsid w:val="00F52F5D"/>
    <w:rsid w:val="00F53C0F"/>
    <w:rsid w:val="00F53DAB"/>
    <w:rsid w:val="00F549A9"/>
    <w:rsid w:val="00F5505C"/>
    <w:rsid w:val="00F5509C"/>
    <w:rsid w:val="00F553CF"/>
    <w:rsid w:val="00F55488"/>
    <w:rsid w:val="00F560A2"/>
    <w:rsid w:val="00F56742"/>
    <w:rsid w:val="00F57541"/>
    <w:rsid w:val="00F57799"/>
    <w:rsid w:val="00F60835"/>
    <w:rsid w:val="00F61E6B"/>
    <w:rsid w:val="00F6267F"/>
    <w:rsid w:val="00F63B55"/>
    <w:rsid w:val="00F63D0C"/>
    <w:rsid w:val="00F641B0"/>
    <w:rsid w:val="00F64E86"/>
    <w:rsid w:val="00F65145"/>
    <w:rsid w:val="00F659CE"/>
    <w:rsid w:val="00F666E7"/>
    <w:rsid w:val="00F6691B"/>
    <w:rsid w:val="00F67919"/>
    <w:rsid w:val="00F679E4"/>
    <w:rsid w:val="00F70916"/>
    <w:rsid w:val="00F71056"/>
    <w:rsid w:val="00F71A9A"/>
    <w:rsid w:val="00F71EB7"/>
    <w:rsid w:val="00F72865"/>
    <w:rsid w:val="00F74DDD"/>
    <w:rsid w:val="00F757F3"/>
    <w:rsid w:val="00F75F32"/>
    <w:rsid w:val="00F76147"/>
    <w:rsid w:val="00F763BE"/>
    <w:rsid w:val="00F76C2B"/>
    <w:rsid w:val="00F76F0E"/>
    <w:rsid w:val="00F77B39"/>
    <w:rsid w:val="00F77F7C"/>
    <w:rsid w:val="00F8066D"/>
    <w:rsid w:val="00F80A6E"/>
    <w:rsid w:val="00F81139"/>
    <w:rsid w:val="00F81167"/>
    <w:rsid w:val="00F81CAE"/>
    <w:rsid w:val="00F81D45"/>
    <w:rsid w:val="00F83710"/>
    <w:rsid w:val="00F8371E"/>
    <w:rsid w:val="00F838BE"/>
    <w:rsid w:val="00F83BAC"/>
    <w:rsid w:val="00F847F6"/>
    <w:rsid w:val="00F84967"/>
    <w:rsid w:val="00F849A5"/>
    <w:rsid w:val="00F84A41"/>
    <w:rsid w:val="00F8508F"/>
    <w:rsid w:val="00F8558E"/>
    <w:rsid w:val="00F85733"/>
    <w:rsid w:val="00F86303"/>
    <w:rsid w:val="00F86935"/>
    <w:rsid w:val="00F86A2E"/>
    <w:rsid w:val="00F86CE5"/>
    <w:rsid w:val="00F9056E"/>
    <w:rsid w:val="00F90711"/>
    <w:rsid w:val="00F918ED"/>
    <w:rsid w:val="00F91AF7"/>
    <w:rsid w:val="00F91B05"/>
    <w:rsid w:val="00F923B1"/>
    <w:rsid w:val="00F9269F"/>
    <w:rsid w:val="00F935A2"/>
    <w:rsid w:val="00F936A2"/>
    <w:rsid w:val="00F9444A"/>
    <w:rsid w:val="00F94B65"/>
    <w:rsid w:val="00F94DDF"/>
    <w:rsid w:val="00F94E11"/>
    <w:rsid w:val="00F9670E"/>
    <w:rsid w:val="00F970F7"/>
    <w:rsid w:val="00F971E8"/>
    <w:rsid w:val="00F97532"/>
    <w:rsid w:val="00F97EBC"/>
    <w:rsid w:val="00F97F48"/>
    <w:rsid w:val="00FA0757"/>
    <w:rsid w:val="00FA0CBF"/>
    <w:rsid w:val="00FA0ECA"/>
    <w:rsid w:val="00FA0EEB"/>
    <w:rsid w:val="00FA2C4F"/>
    <w:rsid w:val="00FA348E"/>
    <w:rsid w:val="00FA3A0C"/>
    <w:rsid w:val="00FA48B0"/>
    <w:rsid w:val="00FA4B04"/>
    <w:rsid w:val="00FA4B21"/>
    <w:rsid w:val="00FA4BFB"/>
    <w:rsid w:val="00FA4D2E"/>
    <w:rsid w:val="00FA550F"/>
    <w:rsid w:val="00FA5624"/>
    <w:rsid w:val="00FA5ECF"/>
    <w:rsid w:val="00FA6A40"/>
    <w:rsid w:val="00FA6CB1"/>
    <w:rsid w:val="00FA786A"/>
    <w:rsid w:val="00FA7B2E"/>
    <w:rsid w:val="00FB1EEE"/>
    <w:rsid w:val="00FB1FB3"/>
    <w:rsid w:val="00FB361A"/>
    <w:rsid w:val="00FB3BF4"/>
    <w:rsid w:val="00FB4660"/>
    <w:rsid w:val="00FB4B76"/>
    <w:rsid w:val="00FB4B9B"/>
    <w:rsid w:val="00FB593C"/>
    <w:rsid w:val="00FB6339"/>
    <w:rsid w:val="00FB6389"/>
    <w:rsid w:val="00FB6A3A"/>
    <w:rsid w:val="00FC08D1"/>
    <w:rsid w:val="00FC0903"/>
    <w:rsid w:val="00FC1C62"/>
    <w:rsid w:val="00FC2082"/>
    <w:rsid w:val="00FC290F"/>
    <w:rsid w:val="00FC2C10"/>
    <w:rsid w:val="00FC2D38"/>
    <w:rsid w:val="00FC6E82"/>
    <w:rsid w:val="00FC75FF"/>
    <w:rsid w:val="00FC7CB1"/>
    <w:rsid w:val="00FD04E0"/>
    <w:rsid w:val="00FD0ABE"/>
    <w:rsid w:val="00FD1010"/>
    <w:rsid w:val="00FD11EF"/>
    <w:rsid w:val="00FD135F"/>
    <w:rsid w:val="00FD13C9"/>
    <w:rsid w:val="00FD1D41"/>
    <w:rsid w:val="00FD2808"/>
    <w:rsid w:val="00FD2922"/>
    <w:rsid w:val="00FD2B8C"/>
    <w:rsid w:val="00FD3B00"/>
    <w:rsid w:val="00FD3F52"/>
    <w:rsid w:val="00FD4873"/>
    <w:rsid w:val="00FD5128"/>
    <w:rsid w:val="00FD5F7F"/>
    <w:rsid w:val="00FD605F"/>
    <w:rsid w:val="00FD630E"/>
    <w:rsid w:val="00FD633C"/>
    <w:rsid w:val="00FD66D0"/>
    <w:rsid w:val="00FD6936"/>
    <w:rsid w:val="00FD6C36"/>
    <w:rsid w:val="00FD7A24"/>
    <w:rsid w:val="00FE0BCF"/>
    <w:rsid w:val="00FE169D"/>
    <w:rsid w:val="00FE1860"/>
    <w:rsid w:val="00FE1B2B"/>
    <w:rsid w:val="00FE2348"/>
    <w:rsid w:val="00FE31AB"/>
    <w:rsid w:val="00FE3E08"/>
    <w:rsid w:val="00FE504D"/>
    <w:rsid w:val="00FE5470"/>
    <w:rsid w:val="00FE5AB1"/>
    <w:rsid w:val="00FE5E09"/>
    <w:rsid w:val="00FE5E7F"/>
    <w:rsid w:val="00FE737D"/>
    <w:rsid w:val="00FE7703"/>
    <w:rsid w:val="00FE7704"/>
    <w:rsid w:val="00FE7B51"/>
    <w:rsid w:val="00FF030E"/>
    <w:rsid w:val="00FF090E"/>
    <w:rsid w:val="00FF15D4"/>
    <w:rsid w:val="00FF1704"/>
    <w:rsid w:val="00FF23AC"/>
    <w:rsid w:val="00FF26DF"/>
    <w:rsid w:val="00FF41D3"/>
    <w:rsid w:val="00FF5A95"/>
    <w:rsid w:val="00FF77C0"/>
    <w:rsid w:val="00FF7C9F"/>
    <w:rsid w:val="0127175A"/>
    <w:rsid w:val="01823AAF"/>
    <w:rsid w:val="02107E1C"/>
    <w:rsid w:val="021749A3"/>
    <w:rsid w:val="02C3089D"/>
    <w:rsid w:val="02D36683"/>
    <w:rsid w:val="02F77981"/>
    <w:rsid w:val="02F81480"/>
    <w:rsid w:val="035E0AAD"/>
    <w:rsid w:val="03795DB3"/>
    <w:rsid w:val="03D30796"/>
    <w:rsid w:val="05455CCD"/>
    <w:rsid w:val="05B03435"/>
    <w:rsid w:val="066A21A3"/>
    <w:rsid w:val="06EB52DE"/>
    <w:rsid w:val="07727C72"/>
    <w:rsid w:val="0945030D"/>
    <w:rsid w:val="09BB4148"/>
    <w:rsid w:val="09EC7E9C"/>
    <w:rsid w:val="0A464D4C"/>
    <w:rsid w:val="0AFB38EA"/>
    <w:rsid w:val="0B322D9D"/>
    <w:rsid w:val="0BB83968"/>
    <w:rsid w:val="0C440240"/>
    <w:rsid w:val="0C936018"/>
    <w:rsid w:val="0DA814CE"/>
    <w:rsid w:val="0F0631DB"/>
    <w:rsid w:val="0F3F2DD4"/>
    <w:rsid w:val="0F8849A9"/>
    <w:rsid w:val="115C44E9"/>
    <w:rsid w:val="11A72B08"/>
    <w:rsid w:val="13052542"/>
    <w:rsid w:val="13411D80"/>
    <w:rsid w:val="13412F6E"/>
    <w:rsid w:val="137023BC"/>
    <w:rsid w:val="15113F72"/>
    <w:rsid w:val="15312B8E"/>
    <w:rsid w:val="15472303"/>
    <w:rsid w:val="15880E9C"/>
    <w:rsid w:val="159F3C0F"/>
    <w:rsid w:val="18393146"/>
    <w:rsid w:val="194608D9"/>
    <w:rsid w:val="19BF0EC9"/>
    <w:rsid w:val="19F23111"/>
    <w:rsid w:val="1A3B541F"/>
    <w:rsid w:val="1A5D4AE9"/>
    <w:rsid w:val="1C255E3A"/>
    <w:rsid w:val="1C903377"/>
    <w:rsid w:val="1D13223F"/>
    <w:rsid w:val="1F2C30AB"/>
    <w:rsid w:val="1F407444"/>
    <w:rsid w:val="20E615CA"/>
    <w:rsid w:val="21153659"/>
    <w:rsid w:val="21617C91"/>
    <w:rsid w:val="219C2D4A"/>
    <w:rsid w:val="21A02E24"/>
    <w:rsid w:val="22156E7A"/>
    <w:rsid w:val="22EB64CC"/>
    <w:rsid w:val="22EF577D"/>
    <w:rsid w:val="236937F8"/>
    <w:rsid w:val="23DF3E23"/>
    <w:rsid w:val="24920123"/>
    <w:rsid w:val="2536579D"/>
    <w:rsid w:val="272F4304"/>
    <w:rsid w:val="27926927"/>
    <w:rsid w:val="27A2185A"/>
    <w:rsid w:val="27C37D52"/>
    <w:rsid w:val="282E7402"/>
    <w:rsid w:val="28CF3BB6"/>
    <w:rsid w:val="28F35742"/>
    <w:rsid w:val="29C9003C"/>
    <w:rsid w:val="2A071914"/>
    <w:rsid w:val="2A0D404D"/>
    <w:rsid w:val="2B2458E3"/>
    <w:rsid w:val="2B2C1A99"/>
    <w:rsid w:val="2B45433E"/>
    <w:rsid w:val="2B685B79"/>
    <w:rsid w:val="2B714703"/>
    <w:rsid w:val="2B8E2027"/>
    <w:rsid w:val="2BA22F94"/>
    <w:rsid w:val="2DCB770B"/>
    <w:rsid w:val="2E3E4C40"/>
    <w:rsid w:val="2F2270A3"/>
    <w:rsid w:val="2F4F59D4"/>
    <w:rsid w:val="2FF52243"/>
    <w:rsid w:val="30635848"/>
    <w:rsid w:val="30DC1269"/>
    <w:rsid w:val="32166517"/>
    <w:rsid w:val="32323021"/>
    <w:rsid w:val="3248739D"/>
    <w:rsid w:val="33521382"/>
    <w:rsid w:val="335A4630"/>
    <w:rsid w:val="34E160F8"/>
    <w:rsid w:val="35450619"/>
    <w:rsid w:val="3644012A"/>
    <w:rsid w:val="37AA06DE"/>
    <w:rsid w:val="390B3622"/>
    <w:rsid w:val="391F00BB"/>
    <w:rsid w:val="39A31C9F"/>
    <w:rsid w:val="39A47721"/>
    <w:rsid w:val="3A1E1FCE"/>
    <w:rsid w:val="3A546240"/>
    <w:rsid w:val="3A816A68"/>
    <w:rsid w:val="3CD44576"/>
    <w:rsid w:val="3E214B5E"/>
    <w:rsid w:val="3E5E07DD"/>
    <w:rsid w:val="3ED41958"/>
    <w:rsid w:val="3F716475"/>
    <w:rsid w:val="4026453E"/>
    <w:rsid w:val="405121BF"/>
    <w:rsid w:val="40812DC4"/>
    <w:rsid w:val="40A815C1"/>
    <w:rsid w:val="412E4EFF"/>
    <w:rsid w:val="41B15221"/>
    <w:rsid w:val="42227DB6"/>
    <w:rsid w:val="42654686"/>
    <w:rsid w:val="42827D5A"/>
    <w:rsid w:val="430B098D"/>
    <w:rsid w:val="44320DD5"/>
    <w:rsid w:val="448308A7"/>
    <w:rsid w:val="455D245B"/>
    <w:rsid w:val="45740F9C"/>
    <w:rsid w:val="47691ACF"/>
    <w:rsid w:val="482169CD"/>
    <w:rsid w:val="49851198"/>
    <w:rsid w:val="49BD1118"/>
    <w:rsid w:val="49D30362"/>
    <w:rsid w:val="4AB51950"/>
    <w:rsid w:val="4B676243"/>
    <w:rsid w:val="4B6B313B"/>
    <w:rsid w:val="4B80320F"/>
    <w:rsid w:val="4BE45CE2"/>
    <w:rsid w:val="4C01527A"/>
    <w:rsid w:val="4C39624D"/>
    <w:rsid w:val="4C7214CA"/>
    <w:rsid w:val="4C995E7E"/>
    <w:rsid w:val="4CA91C32"/>
    <w:rsid w:val="4DE534EC"/>
    <w:rsid w:val="4EF967E4"/>
    <w:rsid w:val="4F7E5EC6"/>
    <w:rsid w:val="5032265B"/>
    <w:rsid w:val="505C5AB7"/>
    <w:rsid w:val="50C9333C"/>
    <w:rsid w:val="51DE0511"/>
    <w:rsid w:val="522804D5"/>
    <w:rsid w:val="526E3445"/>
    <w:rsid w:val="52A720A8"/>
    <w:rsid w:val="53234C11"/>
    <w:rsid w:val="53F03EBC"/>
    <w:rsid w:val="542E2E5A"/>
    <w:rsid w:val="54645BCE"/>
    <w:rsid w:val="54D828EB"/>
    <w:rsid w:val="552E1210"/>
    <w:rsid w:val="55481F27"/>
    <w:rsid w:val="555F058B"/>
    <w:rsid w:val="55696973"/>
    <w:rsid w:val="559B4F21"/>
    <w:rsid w:val="568D320F"/>
    <w:rsid w:val="56E22E78"/>
    <w:rsid w:val="5770282E"/>
    <w:rsid w:val="57834A10"/>
    <w:rsid w:val="58C711BE"/>
    <w:rsid w:val="58C937D8"/>
    <w:rsid w:val="58F629FF"/>
    <w:rsid w:val="59375CA9"/>
    <w:rsid w:val="599E5F77"/>
    <w:rsid w:val="5B552952"/>
    <w:rsid w:val="5C3B1D0E"/>
    <w:rsid w:val="5C8A0564"/>
    <w:rsid w:val="5DA06ECD"/>
    <w:rsid w:val="5E8C5F69"/>
    <w:rsid w:val="5ED52859"/>
    <w:rsid w:val="5F4010C2"/>
    <w:rsid w:val="5FE01DDB"/>
    <w:rsid w:val="60316FC1"/>
    <w:rsid w:val="6089108D"/>
    <w:rsid w:val="60DC2F78"/>
    <w:rsid w:val="61AD3AA6"/>
    <w:rsid w:val="61C63F90"/>
    <w:rsid w:val="621A2CF1"/>
    <w:rsid w:val="62267D29"/>
    <w:rsid w:val="62C517F4"/>
    <w:rsid w:val="637F0F10"/>
    <w:rsid w:val="639B166B"/>
    <w:rsid w:val="64894C6B"/>
    <w:rsid w:val="65E02B77"/>
    <w:rsid w:val="660559CC"/>
    <w:rsid w:val="67463E50"/>
    <w:rsid w:val="67C1297F"/>
    <w:rsid w:val="67CC0793"/>
    <w:rsid w:val="68277268"/>
    <w:rsid w:val="689E1217"/>
    <w:rsid w:val="691E5D78"/>
    <w:rsid w:val="69BA064F"/>
    <w:rsid w:val="69EF049E"/>
    <w:rsid w:val="6A2F4F3E"/>
    <w:rsid w:val="6A693598"/>
    <w:rsid w:val="6C0F0FC1"/>
    <w:rsid w:val="6C130BDB"/>
    <w:rsid w:val="6C441846"/>
    <w:rsid w:val="6CB30AE5"/>
    <w:rsid w:val="6D332F17"/>
    <w:rsid w:val="6E8F08F1"/>
    <w:rsid w:val="6EB51679"/>
    <w:rsid w:val="6ECD6C81"/>
    <w:rsid w:val="7047245E"/>
    <w:rsid w:val="719E2AF4"/>
    <w:rsid w:val="71EC2A91"/>
    <w:rsid w:val="72980CEA"/>
    <w:rsid w:val="72C3643C"/>
    <w:rsid w:val="732E7ADD"/>
    <w:rsid w:val="73430029"/>
    <w:rsid w:val="735373C0"/>
    <w:rsid w:val="73F05867"/>
    <w:rsid w:val="74EE2A3F"/>
    <w:rsid w:val="75A259D9"/>
    <w:rsid w:val="76183460"/>
    <w:rsid w:val="76890262"/>
    <w:rsid w:val="79843486"/>
    <w:rsid w:val="79A403D4"/>
    <w:rsid w:val="7D5D6F96"/>
    <w:rsid w:val="7D7A7953"/>
    <w:rsid w:val="7DA958C1"/>
    <w:rsid w:val="7DFD39EA"/>
    <w:rsid w:val="7E4039D5"/>
    <w:rsid w:val="7EAA7269"/>
    <w:rsid w:val="7F514519"/>
    <w:rsid w:val="7FA74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372"/>
    <w:qFormat/>
    <w:uiPriority w:val="0"/>
    <w:pPr>
      <w:keepNext/>
      <w:keepLines/>
      <w:widowControl w:val="0"/>
      <w:tabs>
        <w:tab w:val="left" w:pos="840"/>
      </w:tabs>
      <w:adjustRightInd w:val="0"/>
      <w:snapToGrid w:val="0"/>
      <w:spacing w:line="360" w:lineRule="auto"/>
      <w:jc w:val="both"/>
      <w:outlineLvl w:val="0"/>
    </w:pPr>
    <w:rPr>
      <w:rFonts w:ascii="宋体" w:hAnsi="宋体"/>
      <w:b/>
      <w:kern w:val="44"/>
      <w:sz w:val="24"/>
    </w:rPr>
  </w:style>
  <w:style w:type="paragraph" w:styleId="4">
    <w:name w:val="heading 2"/>
    <w:basedOn w:val="1"/>
    <w:next w:val="1"/>
    <w:link w:val="358"/>
    <w:qFormat/>
    <w:uiPriority w:val="0"/>
    <w:pPr>
      <w:keepNext/>
      <w:keepLines/>
      <w:adjustRightInd w:val="0"/>
      <w:snapToGrid w:val="0"/>
      <w:spacing w:line="360" w:lineRule="auto"/>
      <w:jc w:val="center"/>
      <w:outlineLvl w:val="1"/>
    </w:pPr>
    <w:rPr>
      <w:rFonts w:ascii="宋体" w:hAnsi="Arial" w:cs="Arial"/>
      <w:b/>
      <w:color w:val="000000"/>
      <w:sz w:val="30"/>
      <w:szCs w:val="30"/>
    </w:rPr>
  </w:style>
  <w:style w:type="paragraph" w:styleId="5">
    <w:name w:val="heading 3"/>
    <w:basedOn w:val="1"/>
    <w:next w:val="1"/>
    <w:link w:val="340"/>
    <w:qFormat/>
    <w:uiPriority w:val="0"/>
    <w:pPr>
      <w:widowControl w:val="0"/>
      <w:tabs>
        <w:tab w:val="left" w:pos="851"/>
      </w:tabs>
      <w:autoSpaceDE w:val="0"/>
      <w:autoSpaceDN w:val="0"/>
      <w:adjustRightInd w:val="0"/>
      <w:snapToGrid w:val="0"/>
      <w:spacing w:line="360" w:lineRule="auto"/>
      <w:ind w:left="851" w:hanging="851"/>
      <w:jc w:val="both"/>
      <w:outlineLvl w:val="2"/>
    </w:pPr>
    <w:rPr>
      <w:rFonts w:ascii="宋体"/>
      <w:snapToGrid w:val="0"/>
    </w:rPr>
  </w:style>
  <w:style w:type="paragraph" w:styleId="6">
    <w:name w:val="heading 4"/>
    <w:basedOn w:val="1"/>
    <w:next w:val="7"/>
    <w:link w:val="354"/>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paragraph" w:styleId="8">
    <w:name w:val="heading 5"/>
    <w:basedOn w:val="1"/>
    <w:next w:val="7"/>
    <w:link w:val="295"/>
    <w:qFormat/>
    <w:uiPriority w:val="0"/>
    <w:pPr>
      <w:keepNext/>
      <w:widowControl w:val="0"/>
      <w:tabs>
        <w:tab w:val="left" w:pos="1008"/>
      </w:tabs>
      <w:autoSpaceDE w:val="0"/>
      <w:autoSpaceDN w:val="0"/>
      <w:adjustRightInd w:val="0"/>
      <w:snapToGrid w:val="0"/>
      <w:spacing w:before="280" w:after="290" w:line="376" w:lineRule="auto"/>
      <w:ind w:left="1008" w:hanging="1008"/>
      <w:jc w:val="both"/>
      <w:outlineLvl w:val="4"/>
    </w:pPr>
    <w:rPr>
      <w:rFonts w:ascii="宋体"/>
      <w:b/>
      <w:snapToGrid w:val="0"/>
      <w:color w:val="000000"/>
      <w:sz w:val="28"/>
    </w:rPr>
  </w:style>
  <w:style w:type="paragraph" w:styleId="9">
    <w:name w:val="heading 6"/>
    <w:basedOn w:val="1"/>
    <w:next w:val="7"/>
    <w:link w:val="297"/>
    <w:qFormat/>
    <w:uiPriority w:val="0"/>
    <w:pPr>
      <w:keepNext/>
      <w:widowControl w:val="0"/>
      <w:tabs>
        <w:tab w:val="left" w:pos="1152"/>
      </w:tabs>
      <w:autoSpaceDE w:val="0"/>
      <w:autoSpaceDN w:val="0"/>
      <w:adjustRightInd w:val="0"/>
      <w:snapToGrid w:val="0"/>
      <w:spacing w:before="240" w:after="64" w:line="320" w:lineRule="auto"/>
      <w:ind w:left="1152" w:hanging="1152"/>
      <w:jc w:val="both"/>
      <w:outlineLvl w:val="5"/>
    </w:pPr>
    <w:rPr>
      <w:rFonts w:ascii="Arial" w:hAnsi="Arial" w:eastAsia="黑体"/>
      <w:b/>
      <w:snapToGrid w:val="0"/>
      <w:color w:val="000000"/>
      <w:sz w:val="24"/>
    </w:rPr>
  </w:style>
  <w:style w:type="paragraph" w:styleId="10">
    <w:name w:val="heading 7"/>
    <w:basedOn w:val="1"/>
    <w:next w:val="7"/>
    <w:link w:val="357"/>
    <w:qFormat/>
    <w:uiPriority w:val="0"/>
    <w:pPr>
      <w:keepNext/>
      <w:widowControl w:val="0"/>
      <w:tabs>
        <w:tab w:val="left" w:pos="1296"/>
      </w:tabs>
      <w:autoSpaceDE w:val="0"/>
      <w:autoSpaceDN w:val="0"/>
      <w:adjustRightInd w:val="0"/>
      <w:snapToGrid w:val="0"/>
      <w:spacing w:before="240" w:after="64" w:line="320" w:lineRule="auto"/>
      <w:ind w:left="1296" w:hanging="1296"/>
      <w:jc w:val="both"/>
      <w:outlineLvl w:val="6"/>
    </w:pPr>
    <w:rPr>
      <w:rFonts w:ascii="宋体"/>
      <w:b/>
      <w:snapToGrid w:val="0"/>
      <w:color w:val="000000"/>
      <w:sz w:val="24"/>
    </w:rPr>
  </w:style>
  <w:style w:type="paragraph" w:styleId="11">
    <w:name w:val="heading 8"/>
    <w:basedOn w:val="1"/>
    <w:next w:val="7"/>
    <w:link w:val="290"/>
    <w:qFormat/>
    <w:uiPriority w:val="0"/>
    <w:pPr>
      <w:keepNext/>
      <w:widowControl w:val="0"/>
      <w:tabs>
        <w:tab w:val="left" w:pos="1440"/>
      </w:tabs>
      <w:autoSpaceDE w:val="0"/>
      <w:autoSpaceDN w:val="0"/>
      <w:adjustRightInd w:val="0"/>
      <w:snapToGrid w:val="0"/>
      <w:spacing w:before="240" w:after="64" w:line="320" w:lineRule="auto"/>
      <w:ind w:left="1440" w:hanging="1440"/>
      <w:jc w:val="both"/>
      <w:outlineLvl w:val="7"/>
    </w:pPr>
    <w:rPr>
      <w:rFonts w:ascii="Arial" w:hAnsi="Arial" w:eastAsia="黑体"/>
      <w:snapToGrid w:val="0"/>
      <w:color w:val="000000"/>
      <w:sz w:val="24"/>
    </w:rPr>
  </w:style>
  <w:style w:type="paragraph" w:styleId="12">
    <w:name w:val="heading 9"/>
    <w:basedOn w:val="1"/>
    <w:next w:val="7"/>
    <w:link w:val="302"/>
    <w:qFormat/>
    <w:uiPriority w:val="0"/>
    <w:pPr>
      <w:keepNext/>
      <w:widowControl w:val="0"/>
      <w:tabs>
        <w:tab w:val="left" w:pos="1584"/>
      </w:tabs>
      <w:autoSpaceDE w:val="0"/>
      <w:autoSpaceDN w:val="0"/>
      <w:adjustRightInd w:val="0"/>
      <w:snapToGrid w:val="0"/>
      <w:spacing w:before="240" w:after="64" w:line="320" w:lineRule="auto"/>
      <w:ind w:left="1584" w:hanging="1584"/>
      <w:jc w:val="both"/>
      <w:outlineLvl w:val="8"/>
    </w:pPr>
    <w:rPr>
      <w:rFonts w:ascii="Arial" w:hAnsi="Arial" w:eastAsia="黑体"/>
      <w:snapToGrid w:val="0"/>
      <w:color w:val="000000"/>
    </w:rPr>
  </w:style>
  <w:style w:type="character" w:default="1" w:styleId="51">
    <w:name w:val="Default Paragraph Font"/>
    <w:unhideWhenUsed/>
    <w:qFormat/>
    <w:uiPriority w:val="1"/>
  </w:style>
  <w:style w:type="table" w:default="1" w:styleId="47">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369"/>
    <w:qFormat/>
    <w:uiPriority w:val="0"/>
    <w:pPr>
      <w:widowControl w:val="0"/>
      <w:jc w:val="both"/>
    </w:pPr>
    <w:rPr>
      <w:kern w:val="2"/>
      <w:sz w:val="28"/>
    </w:rPr>
  </w:style>
  <w:style w:type="paragraph" w:styleId="7">
    <w:name w:val="Normal Indent"/>
    <w:basedOn w:val="1"/>
    <w:link w:val="306"/>
    <w:qFormat/>
    <w:uiPriority w:val="0"/>
    <w:pPr>
      <w:ind w:left="720"/>
    </w:pPr>
  </w:style>
  <w:style w:type="paragraph" w:styleId="13">
    <w:name w:val="toc 7"/>
    <w:basedOn w:val="1"/>
    <w:next w:val="1"/>
    <w:semiHidden/>
    <w:qFormat/>
    <w:uiPriority w:val="0"/>
    <w:pPr>
      <w:widowControl w:val="0"/>
      <w:ind w:left="2520"/>
      <w:jc w:val="both"/>
    </w:pPr>
    <w:rPr>
      <w:kern w:val="2"/>
    </w:rPr>
  </w:style>
  <w:style w:type="paragraph" w:styleId="14">
    <w:name w:val="caption"/>
    <w:basedOn w:val="1"/>
    <w:next w:val="1"/>
    <w:qFormat/>
    <w:uiPriority w:val="0"/>
    <w:pPr>
      <w:widowControl w:val="0"/>
      <w:jc w:val="both"/>
    </w:pPr>
    <w:rPr>
      <w:rFonts w:ascii="Arial" w:hAnsi="Arial" w:eastAsia="黑体" w:cs="Arial"/>
      <w:kern w:val="2"/>
      <w:sz w:val="20"/>
    </w:rPr>
  </w:style>
  <w:style w:type="paragraph" w:styleId="15">
    <w:name w:val="Document Map"/>
    <w:basedOn w:val="1"/>
    <w:link w:val="317"/>
    <w:semiHidden/>
    <w:qFormat/>
    <w:uiPriority w:val="0"/>
    <w:pPr>
      <w:shd w:val="clear" w:color="auto" w:fill="000080"/>
    </w:pPr>
  </w:style>
  <w:style w:type="paragraph" w:styleId="16">
    <w:name w:val="toa heading"/>
    <w:basedOn w:val="1"/>
    <w:next w:val="1"/>
    <w:semiHidden/>
    <w:qFormat/>
    <w:uiPriority w:val="0"/>
    <w:pPr>
      <w:widowControl w:val="0"/>
      <w:autoSpaceDE w:val="0"/>
      <w:autoSpaceDN w:val="0"/>
      <w:adjustRightInd w:val="0"/>
      <w:snapToGrid w:val="0"/>
      <w:spacing w:before="120" w:line="360" w:lineRule="auto"/>
      <w:jc w:val="both"/>
    </w:pPr>
    <w:rPr>
      <w:rFonts w:ascii="Arial" w:hAnsi="Arial"/>
      <w:snapToGrid w:val="0"/>
      <w:color w:val="000000"/>
    </w:rPr>
  </w:style>
  <w:style w:type="paragraph" w:styleId="17">
    <w:name w:val="annotation text"/>
    <w:basedOn w:val="1"/>
    <w:link w:val="310"/>
    <w:semiHidden/>
    <w:qFormat/>
    <w:uiPriority w:val="0"/>
    <w:pPr>
      <w:widowControl w:val="0"/>
    </w:pPr>
    <w:rPr>
      <w:kern w:val="2"/>
      <w:szCs w:val="24"/>
    </w:rPr>
  </w:style>
  <w:style w:type="paragraph" w:styleId="18">
    <w:name w:val="Body Text 3"/>
    <w:basedOn w:val="1"/>
    <w:link w:val="368"/>
    <w:qFormat/>
    <w:uiPriority w:val="0"/>
    <w:pPr>
      <w:spacing w:after="120"/>
    </w:pPr>
    <w:rPr>
      <w:sz w:val="16"/>
      <w:szCs w:val="16"/>
    </w:rPr>
  </w:style>
  <w:style w:type="paragraph" w:styleId="19">
    <w:name w:val="Body Text Indent"/>
    <w:basedOn w:val="1"/>
    <w:link w:val="328"/>
    <w:qFormat/>
    <w:uiPriority w:val="0"/>
    <w:pPr>
      <w:widowControl w:val="0"/>
      <w:spacing w:line="360" w:lineRule="auto"/>
      <w:ind w:left="-103" w:firstLine="515"/>
      <w:jc w:val="both"/>
    </w:pPr>
    <w:rPr>
      <w:rFonts w:ascii="宋体"/>
      <w:kern w:val="2"/>
      <w:sz w:val="24"/>
    </w:rPr>
  </w:style>
  <w:style w:type="paragraph" w:styleId="20">
    <w:name w:val="Block Text"/>
    <w:basedOn w:val="1"/>
    <w:qFormat/>
    <w:uiPriority w:val="0"/>
    <w:pPr>
      <w:autoSpaceDE w:val="0"/>
      <w:autoSpaceDN w:val="0"/>
      <w:spacing w:line="360" w:lineRule="auto"/>
      <w:ind w:left="315" w:leftChars="150" w:right="-53"/>
      <w:jc w:val="both"/>
      <w:textAlignment w:val="bottom"/>
    </w:pPr>
    <w:rPr>
      <w:kern w:val="2"/>
    </w:rPr>
  </w:style>
  <w:style w:type="paragraph" w:styleId="21">
    <w:name w:val="toc 5"/>
    <w:basedOn w:val="1"/>
    <w:next w:val="1"/>
    <w:semiHidden/>
    <w:qFormat/>
    <w:uiPriority w:val="0"/>
    <w:pPr>
      <w:widowControl w:val="0"/>
      <w:ind w:left="1680"/>
      <w:jc w:val="both"/>
    </w:pPr>
    <w:rPr>
      <w:kern w:val="2"/>
    </w:rPr>
  </w:style>
  <w:style w:type="paragraph" w:styleId="22">
    <w:name w:val="toc 3"/>
    <w:basedOn w:val="1"/>
    <w:next w:val="1"/>
    <w:semiHidden/>
    <w:qFormat/>
    <w:uiPriority w:val="0"/>
    <w:pPr>
      <w:widowControl w:val="0"/>
      <w:tabs>
        <w:tab w:val="right" w:leader="dot" w:pos="9499"/>
      </w:tabs>
      <w:ind w:left="318" w:hanging="105"/>
      <w:jc w:val="both"/>
    </w:pPr>
    <w:rPr>
      <w:kern w:val="2"/>
    </w:rPr>
  </w:style>
  <w:style w:type="paragraph" w:styleId="23">
    <w:name w:val="Plain Text"/>
    <w:basedOn w:val="1"/>
    <w:link w:val="280"/>
    <w:qFormat/>
    <w:uiPriority w:val="0"/>
    <w:pPr>
      <w:widowControl w:val="0"/>
      <w:jc w:val="both"/>
    </w:pPr>
    <w:rPr>
      <w:rFonts w:ascii="宋体" w:hAnsi="Courier New"/>
      <w:kern w:val="2"/>
    </w:rPr>
  </w:style>
  <w:style w:type="paragraph" w:styleId="24">
    <w:name w:val="toc 8"/>
    <w:basedOn w:val="1"/>
    <w:next w:val="1"/>
    <w:semiHidden/>
    <w:qFormat/>
    <w:uiPriority w:val="0"/>
    <w:pPr>
      <w:widowControl w:val="0"/>
      <w:ind w:left="2940"/>
      <w:jc w:val="both"/>
    </w:pPr>
    <w:rPr>
      <w:kern w:val="2"/>
    </w:rPr>
  </w:style>
  <w:style w:type="paragraph" w:styleId="25">
    <w:name w:val="Date"/>
    <w:basedOn w:val="1"/>
    <w:next w:val="1"/>
    <w:link w:val="289"/>
    <w:qFormat/>
    <w:uiPriority w:val="0"/>
    <w:pPr>
      <w:widowControl w:val="0"/>
      <w:jc w:val="both"/>
    </w:pPr>
    <w:rPr>
      <w:rFonts w:ascii="楷体_GB2312" w:eastAsia="楷体_GB2312"/>
      <w:kern w:val="2"/>
      <w:sz w:val="28"/>
    </w:rPr>
  </w:style>
  <w:style w:type="paragraph" w:styleId="26">
    <w:name w:val="Body Text Indent 2"/>
    <w:basedOn w:val="1"/>
    <w:link w:val="346"/>
    <w:qFormat/>
    <w:uiPriority w:val="0"/>
    <w:pPr>
      <w:widowControl w:val="0"/>
      <w:spacing w:line="360" w:lineRule="auto"/>
      <w:ind w:firstLine="420"/>
      <w:jc w:val="both"/>
    </w:pPr>
    <w:rPr>
      <w:kern w:val="2"/>
    </w:rPr>
  </w:style>
  <w:style w:type="paragraph" w:styleId="27">
    <w:name w:val="Balloon Text"/>
    <w:basedOn w:val="1"/>
    <w:link w:val="341"/>
    <w:semiHidden/>
    <w:qFormat/>
    <w:uiPriority w:val="0"/>
    <w:pPr>
      <w:widowControl w:val="0"/>
      <w:jc w:val="both"/>
    </w:pPr>
    <w:rPr>
      <w:kern w:val="2"/>
      <w:sz w:val="18"/>
      <w:szCs w:val="18"/>
    </w:rPr>
  </w:style>
  <w:style w:type="paragraph" w:styleId="28">
    <w:name w:val="footer"/>
    <w:basedOn w:val="1"/>
    <w:link w:val="347"/>
    <w:qFormat/>
    <w:uiPriority w:val="99"/>
    <w:pPr>
      <w:tabs>
        <w:tab w:val="center" w:pos="4153"/>
        <w:tab w:val="right" w:pos="8306"/>
      </w:tabs>
      <w:snapToGrid w:val="0"/>
    </w:pPr>
    <w:rPr>
      <w:sz w:val="18"/>
    </w:rPr>
  </w:style>
  <w:style w:type="paragraph" w:styleId="29">
    <w:name w:val="header"/>
    <w:basedOn w:val="1"/>
    <w:link w:val="321"/>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semiHidden/>
    <w:qFormat/>
    <w:uiPriority w:val="0"/>
    <w:pPr>
      <w:tabs>
        <w:tab w:val="right" w:leader="dot" w:pos="9499"/>
      </w:tabs>
      <w:spacing w:line="360" w:lineRule="auto"/>
    </w:pPr>
    <w:rPr>
      <w:rFonts w:ascii="宋体" w:hAnsi="宋体"/>
      <w:b/>
      <w:bCs/>
      <w:color w:val="000000"/>
      <w:szCs w:val="21"/>
    </w:rPr>
  </w:style>
  <w:style w:type="paragraph" w:styleId="31">
    <w:name w:val="toc 4"/>
    <w:basedOn w:val="1"/>
    <w:next w:val="1"/>
    <w:semiHidden/>
    <w:qFormat/>
    <w:uiPriority w:val="0"/>
    <w:pPr>
      <w:widowControl w:val="0"/>
      <w:ind w:left="1260"/>
      <w:jc w:val="both"/>
    </w:pPr>
    <w:rPr>
      <w:kern w:val="2"/>
    </w:rPr>
  </w:style>
  <w:style w:type="paragraph" w:styleId="32">
    <w:name w:val="index heading"/>
    <w:basedOn w:val="1"/>
    <w:next w:val="33"/>
    <w:qFormat/>
    <w:uiPriority w:val="0"/>
    <w:pPr>
      <w:widowControl w:val="0"/>
      <w:jc w:val="both"/>
    </w:pPr>
    <w:rPr>
      <w:kern w:val="2"/>
    </w:rPr>
  </w:style>
  <w:style w:type="paragraph" w:styleId="33">
    <w:name w:val="index 1"/>
    <w:basedOn w:val="1"/>
    <w:next w:val="1"/>
    <w:semiHidden/>
    <w:qFormat/>
    <w:uiPriority w:val="0"/>
    <w:pPr>
      <w:widowControl w:val="0"/>
      <w:jc w:val="center"/>
    </w:pPr>
    <w:rPr>
      <w:kern w:val="2"/>
      <w:szCs w:val="24"/>
    </w:rPr>
  </w:style>
  <w:style w:type="paragraph" w:styleId="34">
    <w:name w:val="Subtitle"/>
    <w:basedOn w:val="1"/>
    <w:qFormat/>
    <w:uiPriority w:val="0"/>
    <w:pPr>
      <w:widowControl w:val="0"/>
      <w:adjustRightInd w:val="0"/>
      <w:spacing w:after="60" w:line="312" w:lineRule="atLeast"/>
      <w:jc w:val="center"/>
      <w:textAlignment w:val="baseline"/>
    </w:pPr>
    <w:rPr>
      <w:rFonts w:ascii="Arial" w:hAnsi="Arial"/>
      <w:i/>
      <w:sz w:val="24"/>
    </w:rPr>
  </w:style>
  <w:style w:type="paragraph" w:styleId="35">
    <w:name w:val="footnote text"/>
    <w:basedOn w:val="1"/>
    <w:semiHidden/>
    <w:qFormat/>
    <w:uiPriority w:val="0"/>
    <w:pPr>
      <w:widowControl w:val="0"/>
      <w:snapToGrid w:val="0"/>
    </w:pPr>
    <w:rPr>
      <w:kern w:val="2"/>
      <w:sz w:val="18"/>
      <w:szCs w:val="18"/>
    </w:rPr>
  </w:style>
  <w:style w:type="paragraph" w:styleId="36">
    <w:name w:val="toc 6"/>
    <w:basedOn w:val="1"/>
    <w:next w:val="1"/>
    <w:semiHidden/>
    <w:qFormat/>
    <w:uiPriority w:val="0"/>
    <w:pPr>
      <w:widowControl w:val="0"/>
      <w:ind w:left="2100"/>
      <w:jc w:val="both"/>
    </w:pPr>
    <w:rPr>
      <w:kern w:val="2"/>
    </w:rPr>
  </w:style>
  <w:style w:type="paragraph" w:styleId="37">
    <w:name w:val="Body Text Indent 3"/>
    <w:basedOn w:val="1"/>
    <w:link w:val="361"/>
    <w:qFormat/>
    <w:uiPriority w:val="0"/>
    <w:pPr>
      <w:widowControl w:val="0"/>
      <w:spacing w:line="360" w:lineRule="auto"/>
      <w:ind w:left="420"/>
      <w:jc w:val="both"/>
    </w:pPr>
    <w:rPr>
      <w:kern w:val="2"/>
    </w:rPr>
  </w:style>
  <w:style w:type="paragraph" w:styleId="38">
    <w:name w:val="toc 2"/>
    <w:basedOn w:val="1"/>
    <w:next w:val="1"/>
    <w:semiHidden/>
    <w:qFormat/>
    <w:uiPriority w:val="0"/>
    <w:pPr>
      <w:tabs>
        <w:tab w:val="right" w:leader="middleDot" w:pos="9707"/>
      </w:tabs>
      <w:spacing w:line="360" w:lineRule="auto"/>
      <w:ind w:left="420"/>
    </w:pPr>
    <w:rPr>
      <w:rFonts w:ascii="宋体"/>
      <w:sz w:val="24"/>
    </w:rPr>
  </w:style>
  <w:style w:type="paragraph" w:styleId="39">
    <w:name w:val="toc 9"/>
    <w:basedOn w:val="1"/>
    <w:next w:val="1"/>
    <w:semiHidden/>
    <w:qFormat/>
    <w:uiPriority w:val="0"/>
    <w:pPr>
      <w:widowControl w:val="0"/>
      <w:ind w:left="3360"/>
      <w:jc w:val="both"/>
    </w:pPr>
    <w:rPr>
      <w:kern w:val="2"/>
    </w:rPr>
  </w:style>
  <w:style w:type="paragraph" w:styleId="40">
    <w:name w:val="Body Text 2"/>
    <w:basedOn w:val="1"/>
    <w:link w:val="323"/>
    <w:qFormat/>
    <w:uiPriority w:val="0"/>
    <w:pPr>
      <w:spacing w:line="360" w:lineRule="auto"/>
    </w:pPr>
    <w:rPr>
      <w:rFonts w:ascii="宋体" w:hAnsi="宋体"/>
      <w:color w:val="000000"/>
      <w:sz w:val="24"/>
    </w:rPr>
  </w:style>
  <w:style w:type="paragraph" w:styleId="41">
    <w:name w:val="HTML Preformatted"/>
    <w:basedOn w:val="1"/>
    <w:link w:val="334"/>
    <w:qFormat/>
    <w:uiPriority w:val="0"/>
    <w:rPr>
      <w:rFonts w:ascii="黑体" w:hAnsi="Courier New" w:eastAsia="黑体" w:cs="Courier New"/>
      <w:sz w:val="20"/>
      <w:szCs w:val="21"/>
    </w:rPr>
  </w:style>
  <w:style w:type="paragraph" w:styleId="42">
    <w:name w:val="Normal (Web)"/>
    <w:basedOn w:val="1"/>
    <w:qFormat/>
    <w:uiPriority w:val="0"/>
    <w:pPr>
      <w:spacing w:before="100" w:beforeAutospacing="1" w:after="100" w:afterAutospacing="1"/>
    </w:pPr>
    <w:rPr>
      <w:rFonts w:ascii="宋体" w:hAnsi="宋体" w:cs="宋体"/>
      <w:color w:val="000000"/>
      <w:sz w:val="24"/>
      <w:szCs w:val="24"/>
    </w:rPr>
  </w:style>
  <w:style w:type="paragraph" w:styleId="43">
    <w:name w:val="Title"/>
    <w:basedOn w:val="1"/>
    <w:link w:val="375"/>
    <w:qFormat/>
    <w:uiPriority w:val="0"/>
    <w:pPr>
      <w:widowControl w:val="0"/>
      <w:spacing w:before="240" w:after="60"/>
      <w:jc w:val="center"/>
      <w:outlineLvl w:val="0"/>
    </w:pPr>
    <w:rPr>
      <w:rFonts w:ascii="Arial" w:hAnsi="Arial" w:cs="Arial"/>
      <w:b/>
      <w:bCs/>
      <w:kern w:val="2"/>
      <w:sz w:val="32"/>
      <w:szCs w:val="32"/>
    </w:rPr>
  </w:style>
  <w:style w:type="paragraph" w:styleId="44">
    <w:name w:val="annotation subject"/>
    <w:basedOn w:val="17"/>
    <w:next w:val="17"/>
    <w:link w:val="308"/>
    <w:semiHidden/>
    <w:qFormat/>
    <w:uiPriority w:val="0"/>
    <w:pPr>
      <w:widowControl/>
    </w:pPr>
    <w:rPr>
      <w:b/>
      <w:bCs/>
      <w:kern w:val="0"/>
      <w:szCs w:val="21"/>
    </w:rPr>
  </w:style>
  <w:style w:type="paragraph" w:styleId="45">
    <w:name w:val="Body Text First Indent"/>
    <w:basedOn w:val="2"/>
    <w:link w:val="324"/>
    <w:qFormat/>
    <w:uiPriority w:val="0"/>
    <w:pPr>
      <w:spacing w:after="120"/>
      <w:ind w:firstLine="420" w:firstLineChars="100"/>
    </w:pPr>
    <w:rPr>
      <w:sz w:val="21"/>
      <w:szCs w:val="24"/>
    </w:rPr>
  </w:style>
  <w:style w:type="paragraph" w:styleId="46">
    <w:name w:val="Body Text First Indent 2"/>
    <w:basedOn w:val="19"/>
    <w:link w:val="286"/>
    <w:qFormat/>
    <w:uiPriority w:val="0"/>
    <w:pPr>
      <w:widowControl/>
      <w:spacing w:after="120" w:line="240" w:lineRule="auto"/>
      <w:ind w:left="420" w:leftChars="200" w:firstLine="420" w:firstLineChars="200"/>
      <w:jc w:val="left"/>
    </w:pPr>
    <w:rPr>
      <w:sz w:val="21"/>
    </w:rPr>
  </w:style>
  <w:style w:type="table" w:styleId="48">
    <w:name w:val="Table Grid"/>
    <w:basedOn w:val="47"/>
    <w:qFormat/>
    <w:uiPriority w:val="0"/>
    <w:pPr>
      <w:widowControl w:val="0"/>
      <w:numPr>
        <w:ilvl w:val="0"/>
        <w:numId w:val="1"/>
      </w:numPr>
      <w:ind w:left="0" w:firstLine="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Theme"/>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Elegant"/>
    <w:basedOn w:val="4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2">
    <w:name w:val="Strong"/>
    <w:qFormat/>
    <w:uiPriority w:val="0"/>
    <w:rPr>
      <w:b/>
      <w:bCs/>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0"/>
  </w:style>
  <w:style w:type="character" w:styleId="56">
    <w:name w:val="Hyperlink"/>
    <w:qFormat/>
    <w:uiPriority w:val="0"/>
    <w:rPr>
      <w:color w:val="0000FF"/>
      <w:u w:val="single"/>
    </w:rPr>
  </w:style>
  <w:style w:type="character" w:styleId="57">
    <w:name w:val="annotation reference"/>
    <w:semiHidden/>
    <w:qFormat/>
    <w:uiPriority w:val="0"/>
    <w:rPr>
      <w:sz w:val="21"/>
      <w:szCs w:val="21"/>
    </w:rPr>
  </w:style>
  <w:style w:type="character" w:styleId="58">
    <w:name w:val="footnote reference"/>
    <w:semiHidden/>
    <w:qFormat/>
    <w:uiPriority w:val="0"/>
    <w:rPr>
      <w:vertAlign w:val="superscript"/>
    </w:rPr>
  </w:style>
  <w:style w:type="paragraph" w:customStyle="1" w:styleId="59">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0">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61">
    <w:name w:val="xl68"/>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sz w:val="20"/>
    </w:rPr>
  </w:style>
  <w:style w:type="paragraph" w:customStyle="1" w:styleId="62">
    <w:name w:val="标题 4 +"/>
    <w:basedOn w:val="11"/>
    <w:qFormat/>
    <w:uiPriority w:val="0"/>
    <w:pPr>
      <w:keepLines/>
      <w:adjustRightInd/>
      <w:snapToGrid/>
      <w:ind w:left="0" w:firstLine="0"/>
    </w:pPr>
    <w:rPr>
      <w:color w:val="auto"/>
      <w:szCs w:val="24"/>
    </w:rPr>
  </w:style>
  <w:style w:type="paragraph" w:customStyle="1" w:styleId="63">
    <w:name w:val="目录3"/>
    <w:basedOn w:val="1"/>
    <w:next w:val="1"/>
    <w:qFormat/>
    <w:uiPriority w:val="0"/>
    <w:pPr>
      <w:tabs>
        <w:tab w:val="left" w:leader="dot" w:pos="8503"/>
      </w:tabs>
      <w:spacing w:line="317" w:lineRule="atLeast"/>
      <w:ind w:left="419" w:firstLine="419"/>
      <w:jc w:val="both"/>
      <w:textAlignment w:val="baseline"/>
    </w:pPr>
    <w:rPr>
      <w:color w:val="000000"/>
      <w:u w:val="none" w:color="000000"/>
    </w:rPr>
  </w:style>
  <w:style w:type="paragraph" w:customStyle="1" w:styleId="64">
    <w:name w:val="样式 标题 1- SectionH1卷标题PIM 1h1标书1L1bocSection Headl11H..."/>
    <w:basedOn w:val="3"/>
    <w:qFormat/>
    <w:uiPriority w:val="0"/>
    <w:pPr>
      <w:pageBreakBefore/>
      <w:tabs>
        <w:tab w:val="clear" w:pos="840"/>
      </w:tabs>
      <w:adjustRightInd/>
      <w:snapToGrid/>
      <w:spacing w:before="480" w:after="330"/>
      <w:ind w:left="4385" w:hanging="425"/>
      <w:jc w:val="center"/>
    </w:pPr>
    <w:rPr>
      <w:rFonts w:ascii="Times New Roman" w:hAnsi="Times New Roman" w:cs="宋体"/>
      <w:bCs/>
      <w:sz w:val="44"/>
    </w:rPr>
  </w:style>
  <w:style w:type="paragraph" w:customStyle="1" w:styleId="65">
    <w:name w:val="xl75"/>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66">
    <w:name w:val="±íÏî"/>
    <w:basedOn w:val="1"/>
    <w:qFormat/>
    <w:uiPriority w:val="0"/>
    <w:pPr>
      <w:overflowPunct w:val="0"/>
      <w:autoSpaceDE w:val="0"/>
      <w:autoSpaceDN w:val="0"/>
      <w:adjustRightInd w:val="0"/>
      <w:spacing w:line="300" w:lineRule="auto"/>
      <w:jc w:val="center"/>
      <w:textAlignment w:val="baseline"/>
    </w:pPr>
    <w:rPr>
      <w:sz w:val="18"/>
    </w:rPr>
  </w:style>
  <w:style w:type="paragraph" w:customStyle="1" w:styleId="67">
    <w:name w:val="xl40"/>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68">
    <w:name w:val="xl48"/>
    <w:basedOn w:val="1"/>
    <w:qFormat/>
    <w:uiPriority w:val="0"/>
    <w:pPr>
      <w:pBdr>
        <w:bottom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69">
    <w:name w:val="xl6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rPr>
  </w:style>
  <w:style w:type="paragraph" w:customStyle="1" w:styleId="7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sz w:val="20"/>
    </w:rPr>
  </w:style>
  <w:style w:type="paragraph" w:customStyle="1" w:styleId="71">
    <w:name w:val="Char Char15 Char Char"/>
    <w:basedOn w:val="1"/>
    <w:qFormat/>
    <w:uiPriority w:val="0"/>
    <w:pPr>
      <w:widowControl w:val="0"/>
      <w:jc w:val="both"/>
    </w:pPr>
    <w:rPr>
      <w:kern w:val="2"/>
    </w:rPr>
  </w:style>
  <w:style w:type="paragraph" w:customStyle="1" w:styleId="72">
    <w:name w:val="普通表格1"/>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lang w:val="en-US" w:eastAsia="zh-CN" w:bidi="ar-SA"/>
    </w:rPr>
  </w:style>
  <w:style w:type="paragraph" w:customStyle="1" w:styleId="73">
    <w:name w:val="表格文字"/>
    <w:basedOn w:val="1"/>
    <w:qFormat/>
    <w:uiPriority w:val="0"/>
    <w:pPr>
      <w:widowControl w:val="0"/>
      <w:spacing w:before="25" w:after="25" w:line="300" w:lineRule="auto"/>
      <w:jc w:val="both"/>
    </w:pPr>
    <w:rPr>
      <w:rFonts w:ascii="Times" w:hAnsi="Times"/>
      <w:spacing w:val="10"/>
      <w:sz w:val="24"/>
    </w:rPr>
  </w:style>
  <w:style w:type="paragraph" w:customStyle="1" w:styleId="74">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75">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76">
    <w:name w:val="--规划正文"/>
    <w:basedOn w:val="1"/>
    <w:qFormat/>
    <w:uiPriority w:val="0"/>
    <w:pPr>
      <w:widowControl w:val="0"/>
      <w:spacing w:line="360" w:lineRule="auto"/>
      <w:ind w:firstLine="200" w:firstLineChars="200"/>
      <w:jc w:val="both"/>
    </w:pPr>
    <w:rPr>
      <w:kern w:val="2"/>
    </w:rPr>
  </w:style>
  <w:style w:type="paragraph" w:customStyle="1" w:styleId="77">
    <w:name w:val="样式1"/>
    <w:basedOn w:val="1"/>
    <w:qFormat/>
    <w:uiPriority w:val="0"/>
    <w:pPr>
      <w:widowControl w:val="0"/>
      <w:numPr>
        <w:ilvl w:val="0"/>
        <w:numId w:val="2"/>
      </w:numPr>
      <w:adjustRightInd w:val="0"/>
      <w:snapToGrid w:val="0"/>
      <w:spacing w:before="40" w:after="40" w:line="300" w:lineRule="auto"/>
      <w:jc w:val="center"/>
      <w:textAlignment w:val="center"/>
    </w:pPr>
    <w:rPr>
      <w:snapToGrid w:val="0"/>
      <w:spacing w:val="20"/>
      <w:sz w:val="18"/>
    </w:rPr>
  </w:style>
  <w:style w:type="paragraph" w:customStyle="1" w:styleId="78">
    <w:name w:val="c03"/>
    <w:basedOn w:val="1"/>
    <w:qFormat/>
    <w:uiPriority w:val="0"/>
    <w:pPr>
      <w:spacing w:before="100" w:beforeAutospacing="1" w:after="100" w:afterAutospacing="1"/>
    </w:pPr>
    <w:rPr>
      <w:rFonts w:ascii="宋体" w:hAnsi="宋体"/>
      <w:color w:val="000000"/>
      <w:sz w:val="24"/>
      <w:szCs w:val="24"/>
    </w:rPr>
  </w:style>
  <w:style w:type="paragraph" w:customStyle="1" w:styleId="79">
    <w:name w:val="日期1"/>
    <w:basedOn w:val="1"/>
    <w:next w:val="1"/>
    <w:qFormat/>
    <w:uiPriority w:val="0"/>
    <w:pPr>
      <w:widowControl w:val="0"/>
      <w:adjustRightInd w:val="0"/>
      <w:spacing w:line="360" w:lineRule="auto"/>
      <w:jc w:val="both"/>
      <w:textAlignment w:val="baseline"/>
    </w:pPr>
    <w:rPr>
      <w:rFonts w:ascii="宋体"/>
      <w:b/>
      <w:spacing w:val="2"/>
      <w:kern w:val="2"/>
      <w:sz w:val="24"/>
    </w:rPr>
  </w:style>
  <w:style w:type="paragraph" w:customStyle="1" w:styleId="80">
    <w:name w:val="Char1 Char Char Char1"/>
    <w:basedOn w:val="1"/>
    <w:qFormat/>
    <w:uiPriority w:val="0"/>
    <w:pPr>
      <w:spacing w:after="160" w:line="240" w:lineRule="exact"/>
    </w:pPr>
    <w:rPr>
      <w:rFonts w:ascii="Verdana" w:hAnsi="Verdana" w:eastAsia="仿宋_GB2312"/>
      <w:sz w:val="28"/>
      <w:lang w:eastAsia="en-US"/>
    </w:rPr>
  </w:style>
  <w:style w:type="paragraph" w:customStyle="1" w:styleId="81">
    <w:name w:val="font8"/>
    <w:basedOn w:val="1"/>
    <w:qFormat/>
    <w:uiPriority w:val="0"/>
    <w:pPr>
      <w:spacing w:before="100" w:beforeAutospacing="1" w:after="100" w:afterAutospacing="1"/>
    </w:pPr>
    <w:rPr>
      <w:b/>
      <w:bCs/>
      <w:sz w:val="20"/>
    </w:rPr>
  </w:style>
  <w:style w:type="paragraph" w:customStyle="1" w:styleId="82">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83">
    <w:name w:val="font6"/>
    <w:basedOn w:val="1"/>
    <w:qFormat/>
    <w:uiPriority w:val="0"/>
    <w:pPr>
      <w:spacing w:before="100" w:beforeAutospacing="1" w:after="100" w:afterAutospacing="1"/>
    </w:pPr>
    <w:rPr>
      <w:rFonts w:ascii="宋体" w:hAnsi="宋体" w:cs="宋体"/>
      <w:sz w:val="20"/>
    </w:rPr>
  </w:style>
  <w:style w:type="paragraph" w:customStyle="1" w:styleId="84">
    <w:name w:val="xl65"/>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85">
    <w:name w:val="font10"/>
    <w:basedOn w:val="1"/>
    <w:qFormat/>
    <w:uiPriority w:val="0"/>
    <w:pPr>
      <w:spacing w:before="100" w:beforeAutospacing="1" w:after="100" w:afterAutospacing="1"/>
    </w:pPr>
    <w:rPr>
      <w:rFonts w:ascii="宋体" w:hAnsi="宋体" w:cs="宋体"/>
      <w:color w:val="000000"/>
      <w:sz w:val="22"/>
      <w:szCs w:val="28"/>
    </w:rPr>
  </w:style>
  <w:style w:type="paragraph" w:customStyle="1" w:styleId="86">
    <w:name w:val="È±Ê¡ÎÄ±¾"/>
    <w:basedOn w:val="1"/>
    <w:qFormat/>
    <w:uiPriority w:val="0"/>
    <w:pPr>
      <w:overflowPunct w:val="0"/>
      <w:autoSpaceDE w:val="0"/>
      <w:autoSpaceDN w:val="0"/>
      <w:adjustRightInd w:val="0"/>
      <w:spacing w:line="360" w:lineRule="auto"/>
      <w:jc w:val="both"/>
      <w:textAlignment w:val="baseline"/>
    </w:pPr>
  </w:style>
  <w:style w:type="paragraph" w:customStyle="1" w:styleId="87">
    <w:name w:val="样式 正文缩进 + 首行缩进:  2 字符"/>
    <w:basedOn w:val="7"/>
    <w:qFormat/>
    <w:uiPriority w:val="0"/>
    <w:pPr>
      <w:widowControl w:val="0"/>
      <w:spacing w:line="360" w:lineRule="auto"/>
      <w:ind w:left="0" w:firstLine="480" w:firstLineChars="200"/>
      <w:jc w:val="both"/>
    </w:pPr>
    <w:rPr>
      <w:kern w:val="2"/>
      <w:sz w:val="24"/>
    </w:rPr>
  </w:style>
  <w:style w:type="paragraph" w:customStyle="1" w:styleId="8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89">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9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91">
    <w:name w:val="xl72"/>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92">
    <w:name w:val="xl27"/>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szCs w:val="21"/>
    </w:rPr>
  </w:style>
  <w:style w:type="paragraph" w:customStyle="1" w:styleId="93">
    <w:name w:val="f14"/>
    <w:basedOn w:val="1"/>
    <w:qFormat/>
    <w:uiPriority w:val="0"/>
    <w:pPr>
      <w:spacing w:before="100" w:beforeAutospacing="1" w:after="100" w:afterAutospacing="1"/>
    </w:pPr>
    <w:rPr>
      <w:rFonts w:ascii="_GB2312" w:hAnsi="_GB2312"/>
      <w:color w:val="000000"/>
      <w:sz w:val="28"/>
      <w:szCs w:val="28"/>
    </w:rPr>
  </w:style>
  <w:style w:type="paragraph" w:customStyle="1" w:styleId="94">
    <w:name w:val="表格标题"/>
    <w:basedOn w:val="73"/>
    <w:qFormat/>
    <w:uiPriority w:val="0"/>
    <w:pPr>
      <w:spacing w:before="0" w:after="0" w:line="240" w:lineRule="auto"/>
      <w:jc w:val="center"/>
    </w:pPr>
    <w:rPr>
      <w:rFonts w:ascii="Times New Roman" w:hAnsi="Times New Roman" w:eastAsia="黑体"/>
      <w:spacing w:val="0"/>
      <w:kern w:val="2"/>
      <w:sz w:val="21"/>
      <w:szCs w:val="21"/>
    </w:rPr>
  </w:style>
  <w:style w:type="paragraph" w:customStyle="1" w:styleId="95">
    <w:name w:val="表格正文"/>
    <w:basedOn w:val="1"/>
    <w:link w:val="339"/>
    <w:qFormat/>
    <w:uiPriority w:val="0"/>
    <w:pPr>
      <w:widowControl w:val="0"/>
      <w:overflowPunct w:val="0"/>
      <w:adjustRightInd w:val="0"/>
      <w:snapToGrid w:val="0"/>
      <w:spacing w:before="60" w:after="60" w:line="360" w:lineRule="auto"/>
      <w:ind w:firstLine="540" w:firstLineChars="225"/>
      <w:jc w:val="center"/>
      <w:textAlignment w:val="baseline"/>
    </w:pPr>
    <w:rPr>
      <w:sz w:val="24"/>
    </w:rPr>
  </w:style>
  <w:style w:type="paragraph" w:customStyle="1" w:styleId="96">
    <w:name w:val="xl83"/>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97">
    <w:name w:val="题注5"/>
    <w:basedOn w:val="1"/>
    <w:next w:val="14"/>
    <w:qFormat/>
    <w:uiPriority w:val="0"/>
    <w:pPr>
      <w:widowControl w:val="0"/>
      <w:numPr>
        <w:ilvl w:val="0"/>
        <w:numId w:val="3"/>
      </w:numPr>
      <w:tabs>
        <w:tab w:val="left" w:pos="540"/>
        <w:tab w:val="clear" w:pos="510"/>
      </w:tabs>
      <w:spacing w:line="360" w:lineRule="auto"/>
      <w:ind w:left="540" w:hanging="540" w:hangingChars="225"/>
      <w:jc w:val="both"/>
    </w:pPr>
    <w:rPr>
      <w:rFonts w:ascii="宋体" w:hAnsi="宋体"/>
      <w:color w:val="000000"/>
      <w:kern w:val="2"/>
      <w:sz w:val="24"/>
      <w:szCs w:val="24"/>
    </w:rPr>
  </w:style>
  <w:style w:type="paragraph" w:customStyle="1" w:styleId="98">
    <w:name w:val="正文表标题"/>
    <w:next w:val="6"/>
    <w:qFormat/>
    <w:uiPriority w:val="0"/>
    <w:pPr>
      <w:numPr>
        <w:ilvl w:val="0"/>
        <w:numId w:val="4"/>
      </w:numPr>
      <w:spacing w:after="200" w:line="400" w:lineRule="exact"/>
      <w:jc w:val="center"/>
    </w:pPr>
    <w:rPr>
      <w:rFonts w:ascii="黑体" w:hAnsi="Calibri" w:eastAsia="黑体" w:cs="Times New Roman"/>
      <w:sz w:val="21"/>
      <w:szCs w:val="22"/>
      <w:lang w:val="en-US" w:eastAsia="en-US" w:bidi="ar-SA"/>
    </w:rPr>
  </w:style>
  <w:style w:type="paragraph" w:customStyle="1" w:styleId="99">
    <w:name w:val="标题1"/>
    <w:basedOn w:val="1"/>
    <w:qFormat/>
    <w:uiPriority w:val="0"/>
    <w:pPr>
      <w:spacing w:line="360" w:lineRule="auto"/>
      <w:jc w:val="center"/>
    </w:pPr>
    <w:rPr>
      <w:rFonts w:ascii="黑体" w:eastAsia="黑体"/>
      <w:b/>
      <w:sz w:val="44"/>
    </w:rPr>
  </w:style>
  <w:style w:type="paragraph" w:customStyle="1" w:styleId="100">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01">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2"/>
      <w:szCs w:val="28"/>
    </w:rPr>
  </w:style>
  <w:style w:type="paragraph" w:customStyle="1" w:styleId="102">
    <w:name w:val="Arial corps 9"/>
    <w:basedOn w:val="1"/>
    <w:qFormat/>
    <w:uiPriority w:val="0"/>
    <w:pPr>
      <w:widowControl w:val="0"/>
      <w:spacing w:before="1" w:after="1"/>
    </w:pPr>
    <w:rPr>
      <w:rFonts w:ascii="Arial" w:hAnsi="Arial"/>
      <w:color w:val="000000"/>
      <w:sz w:val="18"/>
      <w:szCs w:val="18"/>
    </w:rPr>
  </w:style>
  <w:style w:type="paragraph" w:customStyle="1" w:styleId="103">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104">
    <w:name w:val="xl88"/>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22"/>
      <w:szCs w:val="28"/>
    </w:rPr>
  </w:style>
  <w:style w:type="paragraph" w:customStyle="1" w:styleId="105">
    <w:name w:val="题注4"/>
    <w:basedOn w:val="1"/>
    <w:next w:val="14"/>
    <w:qFormat/>
    <w:uiPriority w:val="0"/>
    <w:pPr>
      <w:widowControl w:val="0"/>
      <w:ind w:left="-132" w:leftChars="-64" w:right="-105" w:rightChars="-50" w:hanging="2"/>
      <w:jc w:val="center"/>
    </w:pPr>
    <w:rPr>
      <w:b/>
      <w:color w:val="FF0000"/>
      <w:kern w:val="2"/>
      <w:szCs w:val="21"/>
    </w:rPr>
  </w:style>
  <w:style w:type="paragraph" w:customStyle="1" w:styleId="106">
    <w:name w:val="标书正文 Char Char1"/>
    <w:basedOn w:val="1"/>
    <w:qFormat/>
    <w:uiPriority w:val="0"/>
    <w:pPr>
      <w:widowControl w:val="0"/>
      <w:spacing w:line="500" w:lineRule="exact"/>
      <w:ind w:firstLine="540" w:firstLineChars="225"/>
      <w:jc w:val="both"/>
    </w:pPr>
    <w:rPr>
      <w:rFonts w:ascii="宋体" w:hAnsi="宋体"/>
      <w:kern w:val="2"/>
      <w:sz w:val="24"/>
      <w:szCs w:val="24"/>
    </w:rPr>
  </w:style>
  <w:style w:type="paragraph" w:customStyle="1" w:styleId="107">
    <w:name w:val="样式 正文缩进正文（首行缩进两字）特点表正文正文非缩进正文对齐图表标题段1ALT+Z标题4四号缩进正文双..."/>
    <w:basedOn w:val="7"/>
    <w:qFormat/>
    <w:uiPriority w:val="0"/>
    <w:pPr>
      <w:widowControl w:val="0"/>
      <w:autoSpaceDE w:val="0"/>
      <w:autoSpaceDN w:val="0"/>
      <w:adjustRightInd w:val="0"/>
      <w:snapToGrid w:val="0"/>
      <w:spacing w:beforeLines="50" w:afterLines="50" w:line="360" w:lineRule="auto"/>
      <w:ind w:left="0" w:firstLine="480" w:firstLineChars="200"/>
    </w:pPr>
    <w:rPr>
      <w:sz w:val="24"/>
    </w:rPr>
  </w:style>
  <w:style w:type="paragraph" w:customStyle="1" w:styleId="108">
    <w:name w:val="正文缩进HS-正文1"/>
    <w:basedOn w:val="1"/>
    <w:qFormat/>
    <w:uiPriority w:val="0"/>
    <w:pPr>
      <w:widowControl w:val="0"/>
      <w:tabs>
        <w:tab w:val="left" w:pos="0"/>
      </w:tabs>
      <w:spacing w:before="156" w:line="300" w:lineRule="auto"/>
      <w:ind w:firstLine="547" w:firstLineChars="228"/>
      <w:jc w:val="both"/>
    </w:pPr>
    <w:rPr>
      <w:rFonts w:ascii="宋体" w:hAnsi="宋体"/>
      <w:kern w:val="2"/>
      <w:sz w:val="24"/>
      <w:szCs w:val="24"/>
    </w:rPr>
  </w:style>
  <w:style w:type="paragraph" w:customStyle="1" w:styleId="109">
    <w:name w:val="目录4"/>
    <w:basedOn w:val="1"/>
    <w:next w:val="1"/>
    <w:qFormat/>
    <w:uiPriority w:val="0"/>
    <w:pPr>
      <w:tabs>
        <w:tab w:val="left" w:leader="dot" w:pos="8503"/>
      </w:tabs>
      <w:spacing w:line="317" w:lineRule="atLeast"/>
      <w:ind w:left="419" w:firstLine="629"/>
      <w:jc w:val="both"/>
      <w:textAlignment w:val="baseline"/>
    </w:pPr>
    <w:rPr>
      <w:color w:val="000000"/>
      <w:u w:val="none" w:color="000000"/>
    </w:rPr>
  </w:style>
  <w:style w:type="paragraph" w:customStyle="1" w:styleId="110">
    <w:name w:val="CM23"/>
    <w:basedOn w:val="1"/>
    <w:next w:val="1"/>
    <w:qFormat/>
    <w:uiPriority w:val="0"/>
    <w:pPr>
      <w:widowControl w:val="0"/>
      <w:autoSpaceDE w:val="0"/>
      <w:autoSpaceDN w:val="0"/>
      <w:adjustRightInd w:val="0"/>
      <w:spacing w:after="360"/>
    </w:pPr>
    <w:rPr>
      <w:rFonts w:ascii="Verdana" w:hAnsi="Verdana" w:cs="Verdana"/>
      <w:sz w:val="24"/>
      <w:szCs w:val="24"/>
    </w:rPr>
  </w:style>
  <w:style w:type="paragraph" w:customStyle="1" w:styleId="111">
    <w:name w:val="Char Char Char Char Char Char Char Char Char Char"/>
    <w:basedOn w:val="1"/>
    <w:qFormat/>
    <w:uiPriority w:val="0"/>
    <w:pPr>
      <w:widowControl w:val="0"/>
      <w:jc w:val="both"/>
    </w:pPr>
    <w:rPr>
      <w:rFonts w:ascii="Tahoma" w:hAnsi="Tahoma"/>
      <w:kern w:val="2"/>
      <w:sz w:val="24"/>
    </w:rPr>
  </w:style>
  <w:style w:type="paragraph" w:customStyle="1" w:styleId="112">
    <w:name w:val="小节标题"/>
    <w:basedOn w:val="1"/>
    <w:next w:val="1"/>
    <w:qFormat/>
    <w:uiPriority w:val="0"/>
    <w:pPr>
      <w:spacing w:before="175" w:after="102" w:line="351" w:lineRule="atLeast"/>
      <w:jc w:val="both"/>
      <w:textAlignment w:val="baseline"/>
    </w:pPr>
    <w:rPr>
      <w:rFonts w:eastAsia="黑体"/>
      <w:color w:val="000000"/>
      <w:u w:val="none" w:color="000000"/>
    </w:rPr>
  </w:style>
  <w:style w:type="paragraph" w:customStyle="1" w:styleId="113">
    <w:name w:val="默认段落字体 Para Char"/>
    <w:basedOn w:val="1"/>
    <w:qFormat/>
    <w:uiPriority w:val="0"/>
    <w:pPr>
      <w:widowControl w:val="0"/>
      <w:adjustRightInd w:val="0"/>
      <w:spacing w:line="360" w:lineRule="auto"/>
      <w:jc w:val="both"/>
    </w:pPr>
    <w:rPr>
      <w:sz w:val="24"/>
    </w:rPr>
  </w:style>
  <w:style w:type="paragraph" w:customStyle="1" w:styleId="114">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15">
    <w:name w:val="样式4 Char"/>
    <w:basedOn w:val="1"/>
    <w:qFormat/>
    <w:uiPriority w:val="0"/>
    <w:pPr>
      <w:spacing w:line="360" w:lineRule="auto"/>
      <w:ind w:firstLine="480" w:firstLineChars="200"/>
    </w:pPr>
    <w:rPr>
      <w:rFonts w:ascii="仿宋_GB2312"/>
      <w:color w:val="000000"/>
      <w:sz w:val="24"/>
    </w:rPr>
  </w:style>
  <w:style w:type="paragraph" w:customStyle="1" w:styleId="116">
    <w:name w:val="办公自动化专用标题"/>
    <w:basedOn w:val="43"/>
    <w:qFormat/>
    <w:uiPriority w:val="0"/>
    <w:pPr>
      <w:spacing w:line="560" w:lineRule="atLeast"/>
    </w:pPr>
    <w:rPr>
      <w:rFonts w:ascii="宋体" w:cs="Times New Roman"/>
      <w:bCs w:val="0"/>
      <w:sz w:val="44"/>
      <w:szCs w:val="20"/>
    </w:rPr>
  </w:style>
  <w:style w:type="paragraph" w:customStyle="1" w:styleId="117">
    <w:name w:val="列项——（一级）"/>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11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sz w:val="24"/>
      <w:szCs w:val="24"/>
    </w:rPr>
  </w:style>
  <w:style w:type="paragraph" w:customStyle="1" w:styleId="119">
    <w:name w:val="样式 标题 3h3heading 3(Alt+3)(Alt+3)1(Alt+3)2(Alt+3)3(Alt+3)4...1"/>
    <w:basedOn w:val="5"/>
    <w:qFormat/>
    <w:uiPriority w:val="0"/>
    <w:pPr>
      <w:keepNext/>
      <w:keepLines/>
      <w:widowControl/>
      <w:numPr>
        <w:ilvl w:val="2"/>
        <w:numId w:val="5"/>
      </w:numPr>
      <w:tabs>
        <w:tab w:val="left" w:pos="0"/>
        <w:tab w:val="left" w:pos="845"/>
        <w:tab w:val="clear" w:pos="2351"/>
        <w:tab w:val="clear" w:pos="851"/>
      </w:tabs>
      <w:adjustRightInd/>
      <w:snapToGrid/>
      <w:spacing w:before="120" w:after="60"/>
      <w:jc w:val="left"/>
    </w:pPr>
    <w:rPr>
      <w:rFonts w:ascii="Times New Roman"/>
      <w:b/>
      <w:bCs/>
      <w:kern w:val="2"/>
      <w:sz w:val="32"/>
      <w:szCs w:val="24"/>
    </w:rPr>
  </w:style>
  <w:style w:type="paragraph" w:customStyle="1" w:styleId="120">
    <w:name w:val="xl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121">
    <w:name w:val="样式 正文首行缩进 2 + (符号) 宋体 首行缩进:  2 字符"/>
    <w:basedOn w:val="46"/>
    <w:qFormat/>
    <w:uiPriority w:val="0"/>
    <w:pPr>
      <w:widowControl w:val="0"/>
      <w:tabs>
        <w:tab w:val="left" w:pos="2340"/>
      </w:tabs>
      <w:adjustRightInd w:val="0"/>
      <w:snapToGrid w:val="0"/>
      <w:spacing w:beforeLines="50" w:afterLines="50" w:line="360" w:lineRule="auto"/>
      <w:ind w:left="0" w:leftChars="0" w:firstLine="1470" w:firstLineChars="700"/>
      <w:jc w:val="both"/>
    </w:pPr>
    <w:rPr>
      <w:rFonts w:cs="宋体"/>
      <w:szCs w:val="21"/>
    </w:rPr>
  </w:style>
  <w:style w:type="paragraph" w:customStyle="1" w:styleId="122">
    <w:name w:val="xl49"/>
    <w:basedOn w:val="1"/>
    <w:qFormat/>
    <w:uiPriority w:val="0"/>
    <w:pPr>
      <w:pBdr>
        <w:bottom w:val="single" w:color="auto" w:sz="4" w:space="0"/>
        <w:right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123">
    <w:name w:val="xl71"/>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24">
    <w:name w:val="Char1"/>
    <w:basedOn w:val="1"/>
    <w:qFormat/>
    <w:uiPriority w:val="0"/>
    <w:pPr>
      <w:widowControl w:val="0"/>
      <w:jc w:val="both"/>
    </w:pPr>
    <w:rPr>
      <w:rFonts w:ascii="Tahoma" w:hAnsi="Tahoma" w:cs="Tahoma"/>
      <w:kern w:val="2"/>
      <w:sz w:val="24"/>
      <w:szCs w:val="24"/>
    </w:rPr>
  </w:style>
  <w:style w:type="paragraph" w:customStyle="1" w:styleId="125">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 w:val="20"/>
    </w:rPr>
  </w:style>
  <w:style w:type="paragraph" w:customStyle="1" w:styleId="126">
    <w:name w:val="xl56"/>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27">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12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sz w:val="22"/>
      <w:szCs w:val="28"/>
    </w:rPr>
  </w:style>
  <w:style w:type="paragraph" w:customStyle="1" w:styleId="129">
    <w:name w:val="_Style 84"/>
    <w:basedOn w:val="1"/>
    <w:qFormat/>
    <w:uiPriority w:val="0"/>
    <w:pPr>
      <w:widowControl w:val="0"/>
      <w:jc w:val="both"/>
    </w:pPr>
    <w:rPr>
      <w:rFonts w:ascii="Tahoma" w:hAnsi="Tahoma"/>
      <w:kern w:val="2"/>
      <w:sz w:val="24"/>
    </w:rPr>
  </w:style>
  <w:style w:type="paragraph" w:customStyle="1" w:styleId="130">
    <w:name w:val="top_channel"/>
    <w:basedOn w:val="1"/>
    <w:qFormat/>
    <w:uiPriority w:val="0"/>
    <w:pPr>
      <w:spacing w:before="100" w:beforeAutospacing="1" w:after="100" w:afterAutospacing="1"/>
    </w:pPr>
    <w:rPr>
      <w:rFonts w:ascii="宋体" w:hAnsi="宋体" w:cs="宋体"/>
      <w:color w:val="FFFFFF"/>
      <w:szCs w:val="21"/>
    </w:rPr>
  </w:style>
  <w:style w:type="paragraph" w:customStyle="1" w:styleId="131">
    <w:name w:val="样式 首行缩进:  0.74 厘米"/>
    <w:basedOn w:val="1"/>
    <w:qFormat/>
    <w:uiPriority w:val="0"/>
    <w:pPr>
      <w:spacing w:line="360" w:lineRule="auto"/>
      <w:ind w:firstLine="200" w:firstLineChars="200"/>
    </w:pPr>
    <w:rPr>
      <w:sz w:val="24"/>
    </w:rPr>
  </w:style>
  <w:style w:type="paragraph" w:customStyle="1" w:styleId="132">
    <w:name w:val="a3"/>
    <w:basedOn w:val="1"/>
    <w:qFormat/>
    <w:uiPriority w:val="0"/>
    <w:pPr>
      <w:spacing w:before="100" w:beforeAutospacing="1" w:after="100" w:afterAutospacing="1"/>
    </w:pPr>
    <w:rPr>
      <w:rFonts w:ascii="宋体" w:hAnsi="宋体"/>
      <w:color w:val="000000"/>
      <w:sz w:val="20"/>
    </w:rPr>
  </w:style>
  <w:style w:type="paragraph" w:customStyle="1" w:styleId="133">
    <w:name w:val="xl45"/>
    <w:basedOn w:val="1"/>
    <w:qFormat/>
    <w:uiPriority w:val="0"/>
    <w:pPr>
      <w:pBdr>
        <w:top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134">
    <w:name w:val="Char Char Char Char"/>
    <w:basedOn w:val="15"/>
    <w:qFormat/>
    <w:uiPriority w:val="0"/>
    <w:pPr>
      <w:widowControl w:val="0"/>
      <w:adjustRightInd w:val="0"/>
      <w:snapToGrid w:val="0"/>
      <w:spacing w:line="360" w:lineRule="auto"/>
      <w:jc w:val="both"/>
    </w:pPr>
    <w:rPr>
      <w:rFonts w:ascii="Tahoma" w:hAnsi="Tahoma" w:cs="黑体"/>
      <w:kern w:val="2"/>
      <w:sz w:val="24"/>
      <w:szCs w:val="24"/>
    </w:rPr>
  </w:style>
  <w:style w:type="paragraph" w:customStyle="1" w:styleId="135">
    <w:name w:val="xl57"/>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36">
    <w:name w:val="Char Char Char Char Char1 Char"/>
    <w:basedOn w:val="1"/>
    <w:qFormat/>
    <w:uiPriority w:val="0"/>
    <w:pPr>
      <w:widowControl w:val="0"/>
      <w:jc w:val="both"/>
    </w:pPr>
    <w:rPr>
      <w:rFonts w:ascii="Tahoma" w:hAnsi="Tahoma"/>
      <w:kern w:val="2"/>
      <w:sz w:val="24"/>
    </w:rPr>
  </w:style>
  <w:style w:type="paragraph" w:customStyle="1" w:styleId="137">
    <w:name w:val="Char Char"/>
    <w:basedOn w:val="1"/>
    <w:qFormat/>
    <w:uiPriority w:val="0"/>
    <w:pPr>
      <w:spacing w:before="100" w:beforeAutospacing="1" w:after="100" w:afterAutospacing="1" w:line="330" w:lineRule="atLeast"/>
      <w:ind w:left="360"/>
    </w:pPr>
    <w:rPr>
      <w:rFonts w:ascii="ˎ̥" w:hAnsi="ˎ̥" w:cs="宋体"/>
      <w:color w:val="51585D"/>
      <w:szCs w:val="18"/>
    </w:rPr>
  </w:style>
  <w:style w:type="paragraph" w:customStyle="1" w:styleId="138">
    <w:name w:val="font5"/>
    <w:basedOn w:val="1"/>
    <w:qFormat/>
    <w:uiPriority w:val="0"/>
    <w:pPr>
      <w:spacing w:before="100" w:beforeAutospacing="1" w:after="100" w:afterAutospacing="1"/>
    </w:pPr>
    <w:rPr>
      <w:rFonts w:ascii="宋体" w:hAnsi="宋体" w:cs="宋体"/>
      <w:sz w:val="18"/>
      <w:szCs w:val="18"/>
    </w:rPr>
  </w:style>
  <w:style w:type="paragraph" w:customStyle="1" w:styleId="139">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0">
    <w:name w:val="列出段落1"/>
    <w:basedOn w:val="1"/>
    <w:link w:val="278"/>
    <w:qFormat/>
    <w:uiPriority w:val="0"/>
    <w:pPr>
      <w:widowControl w:val="0"/>
      <w:ind w:firstLine="420" w:firstLineChars="200"/>
      <w:jc w:val="both"/>
    </w:pPr>
    <w:rPr>
      <w:rFonts w:ascii="Calibri" w:hAnsi="Calibri"/>
      <w:kern w:val="2"/>
      <w:szCs w:val="22"/>
    </w:rPr>
  </w:style>
  <w:style w:type="paragraph" w:customStyle="1" w:styleId="141">
    <w:name w:val="表格标题_报告"/>
    <w:basedOn w:val="1"/>
    <w:qFormat/>
    <w:uiPriority w:val="0"/>
    <w:pPr>
      <w:widowControl w:val="0"/>
      <w:adjustRightInd w:val="0"/>
      <w:snapToGrid w:val="0"/>
      <w:spacing w:beforeLines="100"/>
      <w:jc w:val="center"/>
    </w:pPr>
    <w:rPr>
      <w:rFonts w:ascii="宋体" w:hAnsi="宋体"/>
      <w:kern w:val="2"/>
      <w:sz w:val="28"/>
    </w:rPr>
  </w:style>
  <w:style w:type="paragraph" w:customStyle="1" w:styleId="142">
    <w:name w:val="xl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rPr>
  </w:style>
  <w:style w:type="paragraph" w:customStyle="1" w:styleId="143">
    <w:name w:val="Char1 Char Char Char"/>
    <w:basedOn w:val="1"/>
    <w:qFormat/>
    <w:uiPriority w:val="0"/>
    <w:pPr>
      <w:widowControl w:val="0"/>
      <w:numPr>
        <w:ilvl w:val="0"/>
        <w:numId w:val="5"/>
      </w:numPr>
      <w:spacing w:line="360" w:lineRule="auto"/>
      <w:jc w:val="both"/>
    </w:pPr>
    <w:rPr>
      <w:rFonts w:ascii="Tahoma" w:hAnsi="Tahoma"/>
      <w:color w:val="000000"/>
      <w:kern w:val="2"/>
      <w:sz w:val="30"/>
      <w:szCs w:val="30"/>
    </w:rPr>
  </w:style>
  <w:style w:type="paragraph" w:customStyle="1" w:styleId="144">
    <w:name w:val="xl6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sz w:val="20"/>
    </w:rPr>
  </w:style>
  <w:style w:type="paragraph" w:customStyle="1" w:styleId="145">
    <w:name w:val="文档正文"/>
    <w:basedOn w:val="1"/>
    <w:qFormat/>
    <w:uiPriority w:val="0"/>
    <w:pPr>
      <w:widowControl w:val="0"/>
      <w:jc w:val="both"/>
    </w:pPr>
    <w:rPr>
      <w:rFonts w:ascii="Arial" w:hAnsi="Arial"/>
      <w:kern w:val="2"/>
      <w:sz w:val="24"/>
    </w:rPr>
  </w:style>
  <w:style w:type="paragraph" w:customStyle="1" w:styleId="146">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7">
    <w:name w:val="xl4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48">
    <w:name w:val="xl54"/>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149">
    <w:name w:val="xl77"/>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150">
    <w:name w:val="_Style 53"/>
    <w:basedOn w:val="1"/>
    <w:qFormat/>
    <w:uiPriority w:val="0"/>
    <w:pPr>
      <w:widowControl w:val="0"/>
      <w:jc w:val="both"/>
    </w:pPr>
  </w:style>
  <w:style w:type="paragraph" w:customStyle="1" w:styleId="151">
    <w:name w:val="正文文本缩进1"/>
    <w:basedOn w:val="1"/>
    <w:qFormat/>
    <w:uiPriority w:val="0"/>
    <w:pPr>
      <w:widowControl w:val="0"/>
      <w:tabs>
        <w:tab w:val="left" w:pos="420"/>
      </w:tabs>
      <w:spacing w:line="360" w:lineRule="auto"/>
      <w:ind w:firstLine="480"/>
      <w:jc w:val="both"/>
    </w:pPr>
    <w:rPr>
      <w:rFonts w:hint="eastAsia"/>
      <w:kern w:val="2"/>
      <w:sz w:val="24"/>
    </w:rPr>
  </w:style>
  <w:style w:type="paragraph" w:customStyle="1" w:styleId="152">
    <w:name w:val="TOC 标题1"/>
    <w:basedOn w:val="3"/>
    <w:next w:val="1"/>
    <w:qFormat/>
    <w:uiPriority w:val="0"/>
    <w:pPr>
      <w:widowControl/>
      <w:tabs>
        <w:tab w:val="clear" w:pos="840"/>
      </w:tabs>
      <w:adjustRightInd/>
      <w:snapToGrid/>
      <w:spacing w:before="480" w:line="276" w:lineRule="auto"/>
      <w:jc w:val="left"/>
      <w:outlineLvl w:val="9"/>
    </w:pPr>
    <w:rPr>
      <w:rFonts w:ascii="Cambria" w:hAnsi="Cambria"/>
      <w:bCs/>
      <w:color w:val="365F91"/>
      <w:kern w:val="0"/>
      <w:sz w:val="28"/>
      <w:szCs w:val="28"/>
    </w:rPr>
  </w:style>
  <w:style w:type="paragraph" w:customStyle="1" w:styleId="153">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4">
    <w:name w:val="Char Char1 Char Char Char"/>
    <w:basedOn w:val="1"/>
    <w:next w:val="1"/>
    <w:qFormat/>
    <w:uiPriority w:val="0"/>
    <w:pPr>
      <w:widowControl w:val="0"/>
      <w:spacing w:line="360" w:lineRule="auto"/>
      <w:ind w:firstLine="480"/>
      <w:jc w:val="both"/>
    </w:pPr>
    <w:rPr>
      <w:kern w:val="2"/>
      <w:sz w:val="24"/>
    </w:rPr>
  </w:style>
  <w:style w:type="paragraph" w:customStyle="1" w:styleId="155">
    <w:name w:val="目录2"/>
    <w:basedOn w:val="1"/>
    <w:next w:val="1"/>
    <w:qFormat/>
    <w:uiPriority w:val="0"/>
    <w:pPr>
      <w:tabs>
        <w:tab w:val="left" w:leader="dot" w:pos="8503"/>
      </w:tabs>
      <w:spacing w:line="317" w:lineRule="atLeast"/>
      <w:ind w:left="419" w:firstLine="419"/>
      <w:jc w:val="both"/>
      <w:textAlignment w:val="baseline"/>
    </w:pPr>
    <w:rPr>
      <w:color w:val="000000"/>
      <w:u w:val="none" w:color="000000"/>
    </w:rPr>
  </w:style>
  <w:style w:type="paragraph" w:customStyle="1" w:styleId="156">
    <w:name w:val="标题5"/>
    <w:basedOn w:val="8"/>
    <w:qFormat/>
    <w:uiPriority w:val="0"/>
    <w:pPr>
      <w:keepLines/>
      <w:tabs>
        <w:tab w:val="clear" w:pos="1008"/>
      </w:tabs>
      <w:adjustRightInd/>
      <w:snapToGrid/>
      <w:spacing w:line="360" w:lineRule="auto"/>
      <w:ind w:left="0" w:firstLine="0"/>
    </w:pPr>
    <w:rPr>
      <w:rFonts w:ascii="Times New Roman"/>
      <w:bCs/>
      <w:color w:val="auto"/>
      <w:kern w:val="2"/>
      <w:szCs w:val="28"/>
    </w:rPr>
  </w:style>
  <w:style w:type="paragraph" w:customStyle="1" w:styleId="157">
    <w:name w:val="font0"/>
    <w:basedOn w:val="1"/>
    <w:qFormat/>
    <w:uiPriority w:val="0"/>
    <w:pPr>
      <w:spacing w:before="100" w:beforeAutospacing="1" w:after="100" w:afterAutospacing="1"/>
    </w:pPr>
    <w:rPr>
      <w:rFonts w:ascii="宋体" w:hAnsi="宋体" w:cs="宋体"/>
      <w:sz w:val="24"/>
      <w:szCs w:val="24"/>
    </w:rPr>
  </w:style>
  <w:style w:type="paragraph" w:customStyle="1" w:styleId="158">
    <w:name w:val="Char Char1"/>
    <w:basedOn w:val="1"/>
    <w:link w:val="351"/>
    <w:qFormat/>
    <w:uiPriority w:val="0"/>
    <w:pPr>
      <w:widowControl w:val="0"/>
      <w:jc w:val="both"/>
    </w:pPr>
    <w:rPr>
      <w:rFonts w:ascii="Tahoma" w:hAnsi="Tahoma"/>
      <w:kern w:val="2"/>
      <w:sz w:val="24"/>
    </w:rPr>
  </w:style>
  <w:style w:type="paragraph" w:customStyle="1" w:styleId="159">
    <w:name w:val="题注1"/>
    <w:basedOn w:val="1"/>
    <w:next w:val="14"/>
    <w:qFormat/>
    <w:uiPriority w:val="0"/>
    <w:pPr>
      <w:widowControl w:val="0"/>
      <w:ind w:left="-107" w:leftChars="-51" w:firstLine="1"/>
      <w:jc w:val="center"/>
    </w:pPr>
    <w:rPr>
      <w:rFonts w:eastAsia="华文中宋"/>
      <w:b/>
      <w:bCs/>
      <w:kern w:val="2"/>
      <w:sz w:val="32"/>
      <w:szCs w:val="24"/>
    </w:rPr>
  </w:style>
  <w:style w:type="paragraph" w:customStyle="1" w:styleId="160">
    <w:name w:val="xl4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161">
    <w:name w:val="Char Char Char Char1"/>
    <w:basedOn w:val="1"/>
    <w:qFormat/>
    <w:uiPriority w:val="0"/>
    <w:pPr>
      <w:spacing w:after="160" w:line="240" w:lineRule="exact"/>
    </w:pPr>
    <w:rPr>
      <w:rFonts w:ascii="Verdana" w:hAnsi="Verdana" w:eastAsia="仿宋_GB2312"/>
      <w:sz w:val="24"/>
      <w:lang w:eastAsia="en-US"/>
    </w:rPr>
  </w:style>
  <w:style w:type="paragraph" w:customStyle="1" w:styleId="162">
    <w:name w:val="xl3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6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font7"/>
    <w:basedOn w:val="1"/>
    <w:qFormat/>
    <w:uiPriority w:val="0"/>
    <w:pPr>
      <w:spacing w:before="100" w:beforeAutospacing="1" w:after="100" w:afterAutospacing="1"/>
    </w:pPr>
    <w:rPr>
      <w:sz w:val="20"/>
    </w:rPr>
  </w:style>
  <w:style w:type="paragraph" w:customStyle="1" w:styleId="165">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0"/>
    </w:rPr>
  </w:style>
  <w:style w:type="paragraph" w:customStyle="1" w:styleId="166">
    <w:name w:val="目录1"/>
    <w:basedOn w:val="1"/>
    <w:next w:val="1"/>
    <w:qFormat/>
    <w:uiPriority w:val="0"/>
    <w:pPr>
      <w:tabs>
        <w:tab w:val="left" w:leader="dot" w:pos="8503"/>
      </w:tabs>
      <w:spacing w:after="102" w:line="215" w:lineRule="atLeast"/>
      <w:ind w:firstLine="419"/>
      <w:textAlignment w:val="baseline"/>
    </w:pPr>
    <w:rPr>
      <w:color w:val="000000"/>
      <w:u w:val="none" w:color="000000"/>
    </w:rPr>
  </w:style>
  <w:style w:type="paragraph" w:customStyle="1" w:styleId="167">
    <w:name w:val="xl64"/>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168">
    <w:name w:val="xl7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 w:val="20"/>
    </w:rPr>
  </w:style>
  <w:style w:type="paragraph" w:customStyle="1" w:styleId="169">
    <w:name w:val="表格"/>
    <w:basedOn w:val="1"/>
    <w:qFormat/>
    <w:uiPriority w:val="0"/>
    <w:pPr>
      <w:framePr w:hSpace="180" w:wrap="around" w:vAnchor="text" w:hAnchor="text" w:y="1"/>
      <w:widowControl w:val="0"/>
      <w:adjustRightInd w:val="0"/>
      <w:snapToGrid w:val="0"/>
      <w:jc w:val="center"/>
    </w:pPr>
    <w:rPr>
      <w:rFonts w:eastAsia="仿宋_GB2312"/>
      <w:szCs w:val="21"/>
    </w:rPr>
  </w:style>
  <w:style w:type="paragraph" w:customStyle="1" w:styleId="170">
    <w:name w:val="my正文"/>
    <w:basedOn w:val="1"/>
    <w:qFormat/>
    <w:uiPriority w:val="0"/>
    <w:pPr>
      <w:spacing w:line="360" w:lineRule="auto"/>
      <w:ind w:firstLine="480" w:firstLineChars="200"/>
    </w:pPr>
    <w:rPr>
      <w:sz w:val="24"/>
    </w:rPr>
  </w:style>
  <w:style w:type="paragraph" w:customStyle="1" w:styleId="171">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72">
    <w:name w:val="编号"/>
    <w:basedOn w:val="1"/>
    <w:qFormat/>
    <w:uiPriority w:val="0"/>
    <w:pPr>
      <w:widowControl w:val="0"/>
      <w:numPr>
        <w:ilvl w:val="4"/>
        <w:numId w:val="6"/>
      </w:numPr>
      <w:spacing w:afterLines="50" w:line="300" w:lineRule="auto"/>
      <w:textAlignment w:val="center"/>
    </w:pPr>
    <w:rPr>
      <w:rFonts w:eastAsia="仿宋_GB2312"/>
      <w:spacing w:val="20"/>
      <w:kern w:val="2"/>
    </w:rPr>
  </w:style>
  <w:style w:type="paragraph" w:customStyle="1" w:styleId="173">
    <w:name w:val="f12"/>
    <w:basedOn w:val="1"/>
    <w:qFormat/>
    <w:uiPriority w:val="0"/>
    <w:pPr>
      <w:spacing w:before="100" w:beforeAutospacing="1" w:after="100" w:afterAutospacing="1"/>
    </w:pPr>
    <w:rPr>
      <w:rFonts w:ascii="_GB2312" w:hAnsi="_GB2312"/>
      <w:color w:val="000000"/>
      <w:szCs w:val="21"/>
    </w:rPr>
  </w:style>
  <w:style w:type="paragraph" w:customStyle="1" w:styleId="174">
    <w:name w:val="正文加粗"/>
    <w:basedOn w:val="1"/>
    <w:link w:val="301"/>
    <w:qFormat/>
    <w:uiPriority w:val="0"/>
    <w:rPr>
      <w:rFonts w:ascii="Arial" w:hAnsi="Arial" w:cs="宋体"/>
      <w:b/>
      <w:bCs/>
      <w:kern w:val="2"/>
      <w:sz w:val="24"/>
      <w:szCs w:val="22"/>
      <w:lang w:eastAsia="en-US"/>
    </w:rPr>
  </w:style>
  <w:style w:type="paragraph" w:customStyle="1" w:styleId="175">
    <w:name w:val="xl69"/>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sz w:val="20"/>
    </w:rPr>
  </w:style>
  <w:style w:type="paragraph" w:customStyle="1" w:styleId="176">
    <w:name w:val="xl9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177">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78">
    <w:name w:val="xl8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179">
    <w:name w:val="3"/>
    <w:basedOn w:val="1"/>
    <w:next w:val="23"/>
    <w:qFormat/>
    <w:uiPriority w:val="0"/>
    <w:pPr>
      <w:widowControl w:val="0"/>
      <w:jc w:val="both"/>
    </w:pPr>
    <w:rPr>
      <w:rFonts w:ascii="宋体" w:hAnsi="Courier New"/>
      <w:kern w:val="2"/>
    </w:rPr>
  </w:style>
  <w:style w:type="paragraph" w:customStyle="1" w:styleId="180">
    <w:name w:val="正文缩近"/>
    <w:basedOn w:val="1"/>
    <w:qFormat/>
    <w:uiPriority w:val="0"/>
    <w:pPr>
      <w:widowControl w:val="0"/>
      <w:spacing w:line="360" w:lineRule="auto"/>
      <w:ind w:firstLine="200" w:firstLineChars="200"/>
      <w:jc w:val="both"/>
    </w:pPr>
    <w:rPr>
      <w:kern w:val="2"/>
      <w:sz w:val="24"/>
      <w:szCs w:val="24"/>
    </w:rPr>
  </w:style>
  <w:style w:type="paragraph" w:customStyle="1" w:styleId="181">
    <w:name w:val="xl4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b/>
      <w:bCs/>
      <w:sz w:val="20"/>
    </w:rPr>
  </w:style>
  <w:style w:type="paragraph" w:customStyle="1" w:styleId="18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83">
    <w:name w:val="Char Char Char Char Char Char1 Char"/>
    <w:basedOn w:val="1"/>
    <w:qFormat/>
    <w:uiPriority w:val="0"/>
    <w:pPr>
      <w:spacing w:after="160" w:line="240" w:lineRule="exact"/>
    </w:pPr>
    <w:rPr>
      <w:rFonts w:ascii="Verdana" w:hAnsi="Verdana"/>
      <w:lang w:eastAsia="en-US"/>
    </w:rPr>
  </w:style>
  <w:style w:type="paragraph" w:customStyle="1" w:styleId="184">
    <w:name w:val="样式 样式 样式 宋体 四号 行距: 最小值 25 磅 + 首行缩进:  2 字符 + 首行缩进:  2 字符"/>
    <w:basedOn w:val="1"/>
    <w:qFormat/>
    <w:uiPriority w:val="0"/>
    <w:pPr>
      <w:widowControl w:val="0"/>
      <w:spacing w:line="500" w:lineRule="exact"/>
      <w:ind w:firstLine="576" w:firstLineChars="200"/>
    </w:pPr>
    <w:rPr>
      <w:rFonts w:ascii="宋体" w:hAnsi="宋体"/>
      <w:color w:val="000000"/>
      <w:spacing w:val="-20"/>
      <w:sz w:val="28"/>
    </w:rPr>
  </w:style>
  <w:style w:type="paragraph" w:customStyle="1" w:styleId="185">
    <w:name w:val="Char Char1 Char"/>
    <w:basedOn w:val="1"/>
    <w:qFormat/>
    <w:uiPriority w:val="0"/>
    <w:pPr>
      <w:widowControl w:val="0"/>
      <w:jc w:val="both"/>
    </w:pPr>
    <w:rPr>
      <w:kern w:val="2"/>
      <w:szCs w:val="24"/>
    </w:rPr>
  </w:style>
  <w:style w:type="paragraph" w:customStyle="1" w:styleId="186">
    <w:name w:val="投标文件3"/>
    <w:basedOn w:val="1"/>
    <w:qFormat/>
    <w:uiPriority w:val="0"/>
    <w:pPr>
      <w:spacing w:line="360" w:lineRule="auto"/>
      <w:jc w:val="both"/>
    </w:pPr>
    <w:rPr>
      <w:rFonts w:ascii="宋体" w:hAnsi="Courier New" w:eastAsia="黑体" w:cs="宋体"/>
      <w:b/>
      <w:bCs/>
      <w:kern w:val="2"/>
      <w:sz w:val="30"/>
      <w:szCs w:val="30"/>
    </w:rPr>
  </w:style>
  <w:style w:type="paragraph" w:customStyle="1" w:styleId="187">
    <w:name w:val="Char Char Char Char Char Char"/>
    <w:basedOn w:val="1"/>
    <w:qFormat/>
    <w:uiPriority w:val="0"/>
    <w:pPr>
      <w:widowControl w:val="0"/>
      <w:jc w:val="both"/>
    </w:pPr>
    <w:rPr>
      <w:rFonts w:ascii="Tahoma" w:hAnsi="Tahoma"/>
      <w:kern w:val="2"/>
      <w:sz w:val="24"/>
    </w:rPr>
  </w:style>
  <w:style w:type="paragraph" w:customStyle="1" w:styleId="188">
    <w:name w:val="无缩进正文"/>
    <w:basedOn w:val="1"/>
    <w:next w:val="1"/>
    <w:qFormat/>
    <w:uiPriority w:val="0"/>
    <w:pPr>
      <w:widowControl w:val="0"/>
      <w:spacing w:beforeLines="50" w:afterLines="50"/>
      <w:jc w:val="both"/>
    </w:pPr>
    <w:rPr>
      <w:rFonts w:ascii="Arial" w:hAnsi="Arial"/>
      <w:kern w:val="2"/>
      <w:sz w:val="24"/>
      <w:szCs w:val="24"/>
    </w:rPr>
  </w:style>
  <w:style w:type="paragraph" w:customStyle="1" w:styleId="18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默认段落字体 Para Char Char Char Char Char Char Char"/>
    <w:basedOn w:val="1"/>
    <w:qFormat/>
    <w:uiPriority w:val="0"/>
    <w:pPr>
      <w:widowControl w:val="0"/>
      <w:jc w:val="both"/>
    </w:pPr>
    <w:rPr>
      <w:rFonts w:ascii="Tahoma" w:hAnsi="Tahoma"/>
      <w:kern w:val="2"/>
      <w:sz w:val="24"/>
    </w:rPr>
  </w:style>
  <w:style w:type="paragraph" w:customStyle="1" w:styleId="191">
    <w:name w:val="列出段落11"/>
    <w:basedOn w:val="1"/>
    <w:qFormat/>
    <w:uiPriority w:val="0"/>
    <w:pPr>
      <w:ind w:firstLine="420" w:firstLineChars="200"/>
    </w:pPr>
    <w:rPr>
      <w:sz w:val="24"/>
      <w:szCs w:val="24"/>
    </w:rPr>
  </w:style>
  <w:style w:type="paragraph" w:customStyle="1" w:styleId="192">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93">
    <w:name w:val="需求书2"/>
    <w:basedOn w:val="1"/>
    <w:qFormat/>
    <w:uiPriority w:val="0"/>
    <w:pPr>
      <w:widowControl w:val="0"/>
      <w:jc w:val="both"/>
    </w:pPr>
    <w:rPr>
      <w:rFonts w:ascii="宋体" w:hAnsi="宋体"/>
      <w:b/>
      <w:spacing w:val="10"/>
      <w:kern w:val="2"/>
      <w:sz w:val="24"/>
      <w:szCs w:val="24"/>
    </w:rPr>
  </w:style>
  <w:style w:type="paragraph" w:customStyle="1" w:styleId="194">
    <w:name w:val="Normal1"/>
    <w:basedOn w:val="1"/>
    <w:qFormat/>
    <w:uiPriority w:val="0"/>
    <w:pPr>
      <w:widowControl w:val="0"/>
      <w:numPr>
        <w:ilvl w:val="1"/>
        <w:numId w:val="7"/>
      </w:numPr>
      <w:tabs>
        <w:tab w:val="left" w:pos="360"/>
      </w:tabs>
      <w:spacing w:line="360" w:lineRule="auto"/>
      <w:jc w:val="both"/>
    </w:pPr>
    <w:rPr>
      <w:rFonts w:ascii="宋体" w:hAnsi="宋体" w:eastAsia="仿宋体"/>
      <w:szCs w:val="21"/>
    </w:rPr>
  </w:style>
  <w:style w:type="paragraph" w:customStyle="1" w:styleId="195">
    <w:name w:val="Char Char Char Char Char Char1 Char Char Char Char Char Char Char Char Char Char Char Char Char Char"/>
    <w:basedOn w:val="1"/>
    <w:qFormat/>
    <w:uiPriority w:val="0"/>
    <w:pPr>
      <w:spacing w:after="160" w:line="240" w:lineRule="exact"/>
    </w:pPr>
    <w:rPr>
      <w:rFonts w:ascii="Verdana" w:hAnsi="Verdana" w:eastAsia="仿宋_GB2312"/>
      <w:sz w:val="24"/>
      <w:lang w:eastAsia="en-US"/>
    </w:rPr>
  </w:style>
  <w:style w:type="paragraph" w:customStyle="1" w:styleId="196">
    <w:name w:val="xl79"/>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197">
    <w:name w:val="xl74"/>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198">
    <w:name w:val="(标书)正文 Char"/>
    <w:basedOn w:val="1"/>
    <w:qFormat/>
    <w:uiPriority w:val="0"/>
    <w:pPr>
      <w:widowControl w:val="0"/>
      <w:spacing w:line="480" w:lineRule="auto"/>
      <w:ind w:firstLine="522"/>
    </w:pPr>
    <w:rPr>
      <w:spacing w:val="10"/>
      <w:sz w:val="24"/>
      <w:szCs w:val="24"/>
    </w:rPr>
  </w:style>
  <w:style w:type="paragraph" w:customStyle="1" w:styleId="199">
    <w:name w:val="正文 首行缩进:  2 字符"/>
    <w:basedOn w:val="1"/>
    <w:qFormat/>
    <w:uiPriority w:val="0"/>
    <w:pPr>
      <w:spacing w:line="360" w:lineRule="auto"/>
      <w:ind w:firstLine="480" w:firstLineChars="200"/>
    </w:pPr>
    <w:rPr>
      <w:rFonts w:cs="宋体"/>
      <w:sz w:val="24"/>
    </w:rPr>
  </w:style>
  <w:style w:type="paragraph" w:customStyle="1" w:styleId="200">
    <w:name w:val="文章总标题"/>
    <w:basedOn w:val="1"/>
    <w:next w:val="201"/>
    <w:qFormat/>
    <w:uiPriority w:val="0"/>
    <w:pPr>
      <w:spacing w:before="566" w:after="544" w:line="566" w:lineRule="atLeast"/>
      <w:jc w:val="center"/>
      <w:textAlignment w:val="baseline"/>
    </w:pPr>
    <w:rPr>
      <w:rFonts w:ascii="Arial" w:eastAsia="黑体"/>
      <w:color w:val="000000"/>
      <w:sz w:val="54"/>
      <w:u w:val="none" w:color="000000"/>
    </w:rPr>
  </w:style>
  <w:style w:type="paragraph" w:customStyle="1" w:styleId="201">
    <w:name w:val="文章副标题"/>
    <w:basedOn w:val="1"/>
    <w:next w:val="202"/>
    <w:qFormat/>
    <w:uiPriority w:val="0"/>
    <w:pPr>
      <w:spacing w:before="187" w:after="175" w:line="374" w:lineRule="atLeast"/>
      <w:jc w:val="center"/>
      <w:textAlignment w:val="baseline"/>
    </w:pPr>
    <w:rPr>
      <w:color w:val="000000"/>
      <w:sz w:val="36"/>
      <w:u w:val="none" w:color="000000"/>
    </w:rPr>
  </w:style>
  <w:style w:type="paragraph" w:customStyle="1" w:styleId="202">
    <w:name w:val="章标题"/>
    <w:basedOn w:val="1"/>
    <w:next w:val="203"/>
    <w:qFormat/>
    <w:uiPriority w:val="0"/>
    <w:pPr>
      <w:spacing w:before="158" w:after="153" w:line="323" w:lineRule="atLeast"/>
      <w:jc w:val="center"/>
      <w:textAlignment w:val="baseline"/>
    </w:pPr>
    <w:rPr>
      <w:rFonts w:ascii="Arial" w:eastAsia="黑体"/>
      <w:color w:val="000000"/>
      <w:sz w:val="31"/>
      <w:u w:val="none" w:color="000000"/>
    </w:rPr>
  </w:style>
  <w:style w:type="paragraph" w:customStyle="1" w:styleId="203">
    <w:name w:val="节标题"/>
    <w:basedOn w:val="1"/>
    <w:next w:val="1"/>
    <w:qFormat/>
    <w:uiPriority w:val="0"/>
    <w:pPr>
      <w:spacing w:line="289" w:lineRule="atLeast"/>
      <w:jc w:val="center"/>
    </w:pPr>
    <w:rPr>
      <w:color w:val="000000"/>
      <w:sz w:val="28"/>
      <w:u w:val="none" w:color="000000"/>
    </w:rPr>
  </w:style>
  <w:style w:type="paragraph" w:customStyle="1" w:styleId="204">
    <w:name w:val="xl61"/>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cs="宋体"/>
      <w:sz w:val="20"/>
    </w:rPr>
  </w:style>
  <w:style w:type="paragraph" w:customStyle="1" w:styleId="205">
    <w:name w:val="xl78"/>
    <w:basedOn w:val="1"/>
    <w:qFormat/>
    <w:uiPriority w:val="0"/>
    <w:pPr>
      <w:pBdr>
        <w:top w:val="single" w:color="auto" w:sz="4" w:space="0"/>
        <w:bottom w:val="single" w:color="auto" w:sz="4" w:space="0"/>
      </w:pBdr>
      <w:spacing w:before="100" w:beforeAutospacing="1" w:after="100" w:afterAutospacing="1"/>
      <w:jc w:val="right"/>
      <w:textAlignment w:val="center"/>
    </w:pPr>
    <w:rPr>
      <w:rFonts w:ascii="宋体" w:hAnsi="宋体" w:cs="宋体"/>
      <w:b/>
      <w:bCs/>
      <w:sz w:val="22"/>
      <w:szCs w:val="22"/>
    </w:rPr>
  </w:style>
  <w:style w:type="paragraph" w:customStyle="1" w:styleId="206">
    <w:name w:val="xl55"/>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sz w:val="24"/>
      <w:szCs w:val="24"/>
    </w:rPr>
  </w:style>
  <w:style w:type="paragraph" w:customStyle="1" w:styleId="207">
    <w:name w:val="p0"/>
    <w:basedOn w:val="1"/>
    <w:qFormat/>
    <w:uiPriority w:val="0"/>
    <w:pPr>
      <w:spacing w:line="365" w:lineRule="atLeast"/>
      <w:ind w:left="1"/>
      <w:jc w:val="both"/>
      <w:textAlignment w:val="bottom"/>
    </w:pPr>
    <w:rPr>
      <w:sz w:val="20"/>
    </w:rPr>
  </w:style>
  <w:style w:type="paragraph" w:customStyle="1" w:styleId="208">
    <w:name w:val="无列表1"/>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lang w:val="en-US" w:eastAsia="zh-CN" w:bidi="ar-SA"/>
    </w:rPr>
  </w:style>
  <w:style w:type="paragraph" w:customStyle="1" w:styleId="209">
    <w:name w:val="tabletext"/>
    <w:basedOn w:val="1"/>
    <w:qFormat/>
    <w:uiPriority w:val="0"/>
    <w:pPr>
      <w:spacing w:before="100" w:beforeAutospacing="1" w:after="100" w:afterAutospacing="1" w:line="209" w:lineRule="atLeast"/>
    </w:pPr>
    <w:rPr>
      <w:rFonts w:ascii="宋体" w:hAnsi="宋体"/>
      <w:sz w:val="16"/>
      <w:szCs w:val="16"/>
    </w:rPr>
  </w:style>
  <w:style w:type="paragraph" w:customStyle="1" w:styleId="210">
    <w:name w:val="正文1"/>
    <w:basedOn w:val="1"/>
    <w:next w:val="1"/>
    <w:qFormat/>
    <w:uiPriority w:val="0"/>
    <w:pPr>
      <w:widowControl w:val="0"/>
      <w:spacing w:before="100" w:beforeAutospacing="1" w:after="100" w:afterAutospacing="1" w:line="400" w:lineRule="exact"/>
      <w:ind w:firstLine="480" w:firstLineChars="200"/>
    </w:pPr>
    <w:rPr>
      <w:rFonts w:ascii="Arial" w:hAnsi="Arial"/>
      <w:kern w:val="2"/>
      <w:sz w:val="24"/>
      <w:szCs w:val="24"/>
    </w:rPr>
  </w:style>
  <w:style w:type="paragraph" w:customStyle="1" w:styleId="211">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212">
    <w:name w:val="样式 标题 3H3h3正文三级标题l3CTheading 33rd levelTitle3MapH31He..."/>
    <w:basedOn w:val="6"/>
    <w:qFormat/>
    <w:uiPriority w:val="0"/>
    <w:pPr>
      <w:keepNext/>
      <w:keepLines/>
      <w:tabs>
        <w:tab w:val="clear" w:pos="864"/>
      </w:tabs>
      <w:adjustRightInd/>
      <w:snapToGrid/>
      <w:spacing w:before="280" w:after="290" w:line="540" w:lineRule="exact"/>
      <w:ind w:left="0" w:firstLine="0"/>
    </w:pPr>
    <w:rPr>
      <w:rFonts w:ascii="黑体" w:eastAsia="黑体"/>
      <w:b/>
      <w:bCs/>
      <w:color w:val="auto"/>
      <w:kern w:val="2"/>
      <w:sz w:val="30"/>
    </w:rPr>
  </w:style>
  <w:style w:type="paragraph" w:customStyle="1" w:styleId="213">
    <w:name w:val="xl46"/>
    <w:basedOn w:val="1"/>
    <w:qFormat/>
    <w:uiPriority w:val="0"/>
    <w:pPr>
      <w:pBdr>
        <w:top w:val="single" w:color="auto" w:sz="4" w:space="0"/>
        <w:right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214">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15">
    <w:name w:val="ÕýÎÄ 1"/>
    <w:basedOn w:val="1"/>
    <w:qFormat/>
    <w:uiPriority w:val="0"/>
    <w:pPr>
      <w:overflowPunct w:val="0"/>
      <w:autoSpaceDE w:val="0"/>
      <w:autoSpaceDN w:val="0"/>
      <w:adjustRightInd w:val="0"/>
      <w:spacing w:before="80" w:after="80" w:line="360" w:lineRule="auto"/>
      <w:ind w:left="1417"/>
      <w:jc w:val="both"/>
      <w:textAlignment w:val="baseline"/>
    </w:pPr>
  </w:style>
  <w:style w:type="paragraph" w:customStyle="1" w:styleId="216">
    <w:name w:val="content"/>
    <w:basedOn w:val="1"/>
    <w:qFormat/>
    <w:uiPriority w:val="0"/>
    <w:pPr>
      <w:spacing w:before="100" w:beforeAutospacing="1" w:after="100" w:afterAutospacing="1" w:line="280" w:lineRule="atLeast"/>
      <w:ind w:firstLine="434"/>
    </w:pPr>
    <w:rPr>
      <w:rFonts w:ascii="宋体" w:hAnsi="宋体" w:cs="宋体"/>
      <w:color w:val="000000"/>
      <w:szCs w:val="21"/>
    </w:rPr>
  </w:style>
  <w:style w:type="paragraph" w:customStyle="1" w:styleId="217">
    <w:name w:val="Char"/>
    <w:basedOn w:val="1"/>
    <w:qFormat/>
    <w:uiPriority w:val="0"/>
    <w:pPr>
      <w:widowControl w:val="0"/>
      <w:jc w:val="both"/>
    </w:pPr>
    <w:rPr>
      <w:rFonts w:ascii="Tahoma" w:hAnsi="Tahoma"/>
      <w:kern w:val="2"/>
      <w:sz w:val="24"/>
    </w:rPr>
  </w:style>
  <w:style w:type="paragraph" w:customStyle="1" w:styleId="218">
    <w:name w:val="普通 (Web)"/>
    <w:basedOn w:val="1"/>
    <w:qFormat/>
    <w:uiPriority w:val="0"/>
    <w:pPr>
      <w:spacing w:before="100" w:beforeAutospacing="1" w:after="100" w:afterAutospacing="1"/>
    </w:pPr>
    <w:rPr>
      <w:rFonts w:ascii="宋体" w:hAnsi="宋体"/>
      <w:sz w:val="24"/>
    </w:rPr>
  </w:style>
  <w:style w:type="paragraph" w:customStyle="1" w:styleId="219">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sz w:val="24"/>
      <w:szCs w:val="24"/>
    </w:rPr>
  </w:style>
  <w:style w:type="paragraph" w:customStyle="1" w:styleId="220">
    <w:name w:val="xl44"/>
    <w:basedOn w:val="1"/>
    <w:qFormat/>
    <w:uiPriority w:val="0"/>
    <w:pPr>
      <w:pBdr>
        <w:top w:val="single" w:color="auto" w:sz="4" w:space="0"/>
        <w:left w:val="single" w:color="auto" w:sz="4" w:space="0"/>
      </w:pBdr>
      <w:spacing w:before="100" w:beforeAutospacing="1" w:after="100" w:afterAutospacing="1"/>
      <w:jc w:val="center"/>
      <w:textAlignment w:val="center"/>
    </w:pPr>
    <w:rPr>
      <w:rFonts w:ascii="宋体" w:hAnsi="宋体" w:cs="宋体"/>
      <w:b/>
      <w:bCs/>
      <w:sz w:val="22"/>
      <w:szCs w:val="22"/>
    </w:rPr>
  </w:style>
  <w:style w:type="paragraph" w:customStyle="1" w:styleId="221">
    <w:name w:val="f12pt1"/>
    <w:basedOn w:val="1"/>
    <w:qFormat/>
    <w:uiPriority w:val="0"/>
    <w:pPr>
      <w:spacing w:before="100" w:beforeAutospacing="1" w:after="100" w:afterAutospacing="1"/>
    </w:pPr>
    <w:rPr>
      <w:rFonts w:ascii="_GB2312" w:hAnsi="_GB2312"/>
      <w:color w:val="000000"/>
      <w:szCs w:val="21"/>
    </w:rPr>
  </w:style>
  <w:style w:type="paragraph" w:customStyle="1" w:styleId="222">
    <w:name w:val="±íÉí"/>
    <w:basedOn w:val="1"/>
    <w:qFormat/>
    <w:uiPriority w:val="0"/>
    <w:pPr>
      <w:overflowPunct w:val="0"/>
      <w:autoSpaceDE w:val="0"/>
      <w:autoSpaceDN w:val="0"/>
      <w:adjustRightInd w:val="0"/>
      <w:spacing w:line="300" w:lineRule="auto"/>
      <w:textAlignment w:val="baseline"/>
    </w:pPr>
    <w:rPr>
      <w:sz w:val="18"/>
    </w:rPr>
  </w:style>
  <w:style w:type="paragraph" w:customStyle="1" w:styleId="223">
    <w:name w:val="Char11"/>
    <w:basedOn w:val="1"/>
    <w:qFormat/>
    <w:uiPriority w:val="0"/>
    <w:pPr>
      <w:spacing w:after="160" w:line="240" w:lineRule="exact"/>
    </w:pPr>
    <w:rPr>
      <w:rFonts w:ascii="Verdana" w:hAnsi="Verdana" w:eastAsia="仿宋_GB2312"/>
      <w:sz w:val="24"/>
      <w:lang w:eastAsia="en-US"/>
    </w:rPr>
  </w:style>
  <w:style w:type="paragraph" w:customStyle="1" w:styleId="224">
    <w:name w:val="文字"/>
    <w:basedOn w:val="1"/>
    <w:link w:val="320"/>
    <w:qFormat/>
    <w:uiPriority w:val="0"/>
    <w:pPr>
      <w:widowControl w:val="0"/>
      <w:tabs>
        <w:tab w:val="left" w:pos="8520"/>
      </w:tabs>
      <w:spacing w:line="312" w:lineRule="auto"/>
      <w:ind w:right="-210" w:firstLine="556"/>
      <w:jc w:val="both"/>
    </w:pPr>
    <w:rPr>
      <w:rFonts w:ascii="宋体"/>
      <w:kern w:val="2"/>
      <w:sz w:val="28"/>
    </w:rPr>
  </w:style>
  <w:style w:type="paragraph" w:customStyle="1" w:styleId="225">
    <w:name w:val="列出段落2"/>
    <w:basedOn w:val="1"/>
    <w:qFormat/>
    <w:uiPriority w:val="0"/>
    <w:pPr>
      <w:ind w:firstLine="420" w:firstLineChars="200"/>
    </w:pPr>
    <w:rPr>
      <w:rFonts w:ascii="宋体" w:hAnsi="宋体" w:cs="宋体"/>
      <w:sz w:val="24"/>
      <w:szCs w:val="24"/>
    </w:rPr>
  </w:style>
  <w:style w:type="paragraph" w:customStyle="1" w:styleId="226">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xl80"/>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22"/>
      <w:szCs w:val="28"/>
    </w:rPr>
  </w:style>
  <w:style w:type="paragraph" w:customStyle="1" w:styleId="228">
    <w:name w:val="投标文件2"/>
    <w:basedOn w:val="1"/>
    <w:qFormat/>
    <w:uiPriority w:val="0"/>
    <w:pPr>
      <w:widowControl w:val="0"/>
      <w:spacing w:line="480" w:lineRule="auto"/>
      <w:ind w:left="1134"/>
      <w:jc w:val="center"/>
      <w:outlineLvl w:val="0"/>
    </w:pPr>
    <w:rPr>
      <w:rFonts w:ascii="宋体"/>
      <w:b/>
      <w:kern w:val="2"/>
      <w:sz w:val="30"/>
    </w:rPr>
  </w:style>
  <w:style w:type="paragraph" w:customStyle="1" w:styleId="229">
    <w:name w:val="正文内容"/>
    <w:basedOn w:val="1"/>
    <w:link w:val="322"/>
    <w:qFormat/>
    <w:uiPriority w:val="0"/>
    <w:pPr>
      <w:widowControl w:val="0"/>
      <w:jc w:val="both"/>
    </w:pPr>
    <w:rPr>
      <w:rFonts w:ascii="Arial" w:hAnsi="Arial"/>
      <w:spacing w:val="-12"/>
      <w:kern w:val="2"/>
    </w:rPr>
  </w:style>
  <w:style w:type="paragraph" w:customStyle="1" w:styleId="230">
    <w:name w:val="xl76"/>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231">
    <w:name w:val="font9"/>
    <w:basedOn w:val="1"/>
    <w:qFormat/>
    <w:uiPriority w:val="0"/>
    <w:pPr>
      <w:spacing w:before="100" w:beforeAutospacing="1" w:after="100" w:afterAutospacing="1"/>
    </w:pPr>
    <w:rPr>
      <w:rFonts w:ascii="宋体" w:hAnsi="宋体" w:cs="宋体"/>
      <w:b/>
      <w:bCs/>
      <w:sz w:val="24"/>
      <w:szCs w:val="24"/>
    </w:rPr>
  </w:style>
  <w:style w:type="paragraph" w:customStyle="1" w:styleId="232">
    <w:name w:val="真正正文+首缩2"/>
    <w:basedOn w:val="1"/>
    <w:link w:val="285"/>
    <w:qFormat/>
    <w:uiPriority w:val="0"/>
    <w:pPr>
      <w:widowControl w:val="0"/>
      <w:adjustRightInd w:val="0"/>
      <w:snapToGrid w:val="0"/>
      <w:spacing w:line="360" w:lineRule="auto"/>
      <w:ind w:firstLine="571" w:firstLineChars="200"/>
      <w:jc w:val="both"/>
    </w:pPr>
    <w:rPr>
      <w:rFonts w:eastAsia="仿宋_GB2312"/>
      <w:kern w:val="2"/>
      <w:sz w:val="28"/>
      <w:szCs w:val="28"/>
    </w:rPr>
  </w:style>
  <w:style w:type="paragraph" w:customStyle="1" w:styleId="233">
    <w:name w:val="默认段落字体 Para Char Char Char Char1 Char Char Char"/>
    <w:basedOn w:val="1"/>
    <w:qFormat/>
    <w:uiPriority w:val="0"/>
    <w:pPr>
      <w:widowControl w:val="0"/>
      <w:jc w:val="both"/>
    </w:pPr>
    <w:rPr>
      <w:kern w:val="2"/>
      <w:szCs w:val="21"/>
    </w:rPr>
  </w:style>
  <w:style w:type="paragraph" w:customStyle="1" w:styleId="234">
    <w:name w:val="标题 4 宋体"/>
    <w:basedOn w:val="62"/>
    <w:qFormat/>
    <w:uiPriority w:val="0"/>
    <w:rPr>
      <w:rFonts w:ascii="宋体" w:hAnsi="宋体" w:eastAsia="宋体"/>
      <w:b/>
      <w:bCs/>
      <w:kern w:val="2"/>
      <w:sz w:val="22"/>
    </w:rPr>
  </w:style>
  <w:style w:type="paragraph" w:customStyle="1" w:styleId="235">
    <w:name w:val="00"/>
    <w:basedOn w:val="1"/>
    <w:qFormat/>
    <w:uiPriority w:val="0"/>
    <w:pPr>
      <w:widowControl w:val="0"/>
      <w:autoSpaceDE w:val="0"/>
      <w:autoSpaceDN w:val="0"/>
      <w:adjustRightInd w:val="0"/>
    </w:pPr>
    <w:rPr>
      <w:rFonts w:ascii="黑体" w:eastAsia="黑体"/>
      <w:b/>
      <w:bCs/>
      <w:sz w:val="20"/>
    </w:rPr>
  </w:style>
  <w:style w:type="paragraph" w:customStyle="1" w:styleId="236">
    <w:name w:val="Char Char Char Char Char Char Char Char Char Char Char Char Char Char Char Char Char"/>
    <w:basedOn w:val="1"/>
    <w:qFormat/>
    <w:uiPriority w:val="0"/>
    <w:pPr>
      <w:spacing w:after="160" w:line="240" w:lineRule="exact"/>
    </w:pPr>
    <w:rPr>
      <w:rFonts w:ascii="Verdana" w:hAnsi="Verdana" w:eastAsia="仿宋_GB2312" w:cs="Verdana"/>
      <w:sz w:val="24"/>
      <w:szCs w:val="24"/>
      <w:lang w:eastAsia="en-US"/>
    </w:rPr>
  </w:style>
  <w:style w:type="paragraph" w:customStyle="1" w:styleId="237">
    <w:name w:val="标题 3 + 宋体"/>
    <w:basedOn w:val="4"/>
    <w:qFormat/>
    <w:uiPriority w:val="0"/>
    <w:pPr>
      <w:widowControl w:val="0"/>
      <w:adjustRightInd/>
      <w:snapToGrid/>
      <w:spacing w:before="260" w:after="260" w:line="416" w:lineRule="auto"/>
      <w:jc w:val="both"/>
    </w:pPr>
    <w:rPr>
      <w:rFonts w:hAnsi="宋体"/>
      <w:bCs/>
      <w:sz w:val="28"/>
      <w:szCs w:val="32"/>
    </w:rPr>
  </w:style>
  <w:style w:type="paragraph" w:customStyle="1" w:styleId="238">
    <w:name w:val="Char Char Char Char Char Char1 Char Char"/>
    <w:basedOn w:val="1"/>
    <w:qFormat/>
    <w:uiPriority w:val="0"/>
    <w:pPr>
      <w:spacing w:after="160" w:line="240" w:lineRule="exact"/>
      <w:ind w:left="264" w:firstLine="280"/>
    </w:pPr>
    <w:rPr>
      <w:rFonts w:ascii="Verdana" w:hAnsi="Verdana"/>
      <w:b/>
      <w:bCs/>
      <w:sz w:val="24"/>
      <w:lang w:eastAsia="en-US"/>
    </w:rPr>
  </w:style>
  <w:style w:type="paragraph" w:customStyle="1" w:styleId="239">
    <w:name w:val="Char Char2 Char"/>
    <w:basedOn w:val="1"/>
    <w:qFormat/>
    <w:uiPriority w:val="0"/>
    <w:pPr>
      <w:widowControl w:val="0"/>
      <w:jc w:val="both"/>
    </w:pPr>
    <w:rPr>
      <w:rFonts w:ascii="宋体" w:hAnsi="宋体"/>
      <w:b/>
      <w:kern w:val="2"/>
      <w:sz w:val="28"/>
      <w:szCs w:val="28"/>
    </w:rPr>
  </w:style>
  <w:style w:type="paragraph" w:customStyle="1" w:styleId="240">
    <w:name w:val="List Paragraph1"/>
    <w:basedOn w:val="1"/>
    <w:qFormat/>
    <w:uiPriority w:val="0"/>
    <w:pPr>
      <w:ind w:firstLine="420" w:firstLineChars="200"/>
    </w:pPr>
    <w:rPr>
      <w:rFonts w:ascii="Calibri" w:hAnsi="Calibri" w:cs="Calibri"/>
      <w:szCs w:val="21"/>
    </w:rPr>
  </w:style>
  <w:style w:type="paragraph" w:customStyle="1" w:styleId="24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sz w:val="20"/>
    </w:rPr>
  </w:style>
  <w:style w:type="paragraph" w:customStyle="1" w:styleId="242">
    <w:name w:val="xl47"/>
    <w:basedOn w:val="1"/>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cs="宋体"/>
      <w:sz w:val="22"/>
      <w:szCs w:val="22"/>
    </w:rPr>
  </w:style>
  <w:style w:type="paragraph" w:customStyle="1" w:styleId="243">
    <w:name w:val="xl8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2"/>
      <w:szCs w:val="28"/>
    </w:rPr>
  </w:style>
  <w:style w:type="paragraph" w:customStyle="1" w:styleId="244">
    <w:name w:val="Char Char Char"/>
    <w:basedOn w:val="1"/>
    <w:qFormat/>
    <w:uiPriority w:val="0"/>
    <w:pPr>
      <w:widowControl w:val="0"/>
      <w:jc w:val="both"/>
    </w:pPr>
    <w:rPr>
      <w:rFonts w:ascii="Tahoma" w:hAnsi="Tahoma" w:eastAsia="黑体"/>
      <w:b/>
      <w:sz w:val="24"/>
    </w:rPr>
  </w:style>
  <w:style w:type="paragraph" w:customStyle="1" w:styleId="245">
    <w:name w:val="封面_项目开发单位"/>
    <w:basedOn w:val="23"/>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46">
    <w:name w:val="Table Paragraph"/>
    <w:basedOn w:val="1"/>
    <w:qFormat/>
    <w:uiPriority w:val="0"/>
    <w:pPr>
      <w:widowControl w:val="0"/>
      <w:autoSpaceDE w:val="0"/>
      <w:autoSpaceDN w:val="0"/>
      <w:adjustRightInd w:val="0"/>
    </w:pPr>
    <w:rPr>
      <w:sz w:val="24"/>
      <w:szCs w:val="24"/>
    </w:rPr>
  </w:style>
  <w:style w:type="paragraph" w:customStyle="1" w:styleId="247">
    <w:name w:val="attention naked"/>
    <w:basedOn w:val="1"/>
    <w:qFormat/>
    <w:uiPriority w:val="0"/>
    <w:pPr>
      <w:spacing w:before="100" w:beforeAutospacing="1" w:after="100" w:afterAutospacing="1"/>
    </w:pPr>
    <w:rPr>
      <w:rFonts w:ascii="宋体" w:hAnsi="宋体" w:cs="宋体"/>
      <w:sz w:val="24"/>
      <w:szCs w:val="24"/>
    </w:rPr>
  </w:style>
  <w:style w:type="paragraph" w:customStyle="1" w:styleId="248">
    <w:name w:val="xl63"/>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sz w:val="20"/>
    </w:rPr>
  </w:style>
  <w:style w:type="paragraph" w:customStyle="1" w:styleId="249">
    <w:name w:val="Char Char Char1"/>
    <w:basedOn w:val="1"/>
    <w:qFormat/>
    <w:uiPriority w:val="0"/>
    <w:pPr>
      <w:widowControl w:val="0"/>
      <w:jc w:val="both"/>
    </w:pPr>
    <w:rPr>
      <w:rFonts w:ascii="Tahoma" w:hAnsi="Tahoma"/>
      <w:kern w:val="2"/>
      <w:sz w:val="24"/>
    </w:rPr>
  </w:style>
  <w:style w:type="paragraph" w:customStyle="1" w:styleId="250">
    <w:name w:val="正文样式1"/>
    <w:basedOn w:val="1"/>
    <w:qFormat/>
    <w:uiPriority w:val="0"/>
    <w:pPr>
      <w:widowControl w:val="0"/>
      <w:spacing w:line="360" w:lineRule="auto"/>
      <w:ind w:firstLine="510"/>
      <w:jc w:val="both"/>
    </w:pPr>
    <w:rPr>
      <w:rFonts w:ascii="Arial" w:hAnsi="Arial"/>
      <w:kern w:val="2"/>
      <w:sz w:val="24"/>
    </w:rPr>
  </w:style>
  <w:style w:type="paragraph" w:customStyle="1" w:styleId="251">
    <w:name w:val="xl89"/>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sz w:val="22"/>
      <w:szCs w:val="28"/>
    </w:rPr>
  </w:style>
  <w:style w:type="paragraph" w:customStyle="1" w:styleId="252">
    <w:name w:val="tb-public-price1"/>
    <w:basedOn w:val="1"/>
    <w:qFormat/>
    <w:uiPriority w:val="0"/>
    <w:pPr>
      <w:pBdr>
        <w:top w:val="single" w:color="D7D7D7" w:sz="6" w:space="6"/>
        <w:left w:val="single" w:color="D7D7D7" w:sz="6" w:space="8"/>
        <w:bottom w:val="single" w:color="D7D7D7" w:sz="6" w:space="6"/>
        <w:right w:val="single" w:color="D7D7D7" w:sz="6" w:space="8"/>
      </w:pBdr>
      <w:shd w:val="clear" w:color="auto" w:fill="F9F9F9"/>
      <w:spacing w:before="100" w:beforeAutospacing="1" w:after="100" w:afterAutospacing="1"/>
    </w:pPr>
    <w:rPr>
      <w:rFonts w:ascii="宋体" w:hAnsi="宋体" w:cs="宋体"/>
      <w:sz w:val="24"/>
      <w:szCs w:val="24"/>
    </w:rPr>
  </w:style>
  <w:style w:type="paragraph" w:customStyle="1" w:styleId="253">
    <w:name w:val="pa-5"/>
    <w:basedOn w:val="1"/>
    <w:qFormat/>
    <w:uiPriority w:val="0"/>
    <w:pPr>
      <w:spacing w:line="280" w:lineRule="atLeast"/>
      <w:jc w:val="both"/>
    </w:pPr>
    <w:rPr>
      <w:rFonts w:ascii="宋体" w:hAnsi="宋体" w:cs="宋体"/>
      <w:sz w:val="24"/>
      <w:szCs w:val="24"/>
    </w:rPr>
  </w:style>
  <w:style w:type="paragraph" w:customStyle="1" w:styleId="254">
    <w:name w:val="xl52"/>
    <w:basedOn w:val="1"/>
    <w:qFormat/>
    <w:uiPriority w:val="0"/>
    <w:pPr>
      <w:pBdr>
        <w:top w:val="single" w:color="auto" w:sz="4" w:space="0"/>
        <w:bottom w:val="single" w:color="auto" w:sz="4" w:space="0"/>
      </w:pBdr>
      <w:spacing w:before="100" w:beforeAutospacing="1" w:after="100" w:afterAutospacing="1"/>
      <w:textAlignment w:val="center"/>
    </w:pPr>
    <w:rPr>
      <w:rFonts w:ascii="宋体" w:hAnsi="宋体" w:cs="宋体"/>
      <w:sz w:val="24"/>
      <w:szCs w:val="24"/>
    </w:rPr>
  </w:style>
  <w:style w:type="paragraph" w:customStyle="1" w:styleId="255">
    <w:name w:val="样式4"/>
    <w:basedOn w:val="1"/>
    <w:qFormat/>
    <w:uiPriority w:val="0"/>
    <w:pPr>
      <w:widowControl w:val="0"/>
      <w:tabs>
        <w:tab w:val="left" w:pos="780"/>
      </w:tabs>
      <w:spacing w:line="480" w:lineRule="auto"/>
      <w:ind w:left="780" w:hanging="420"/>
      <w:jc w:val="both"/>
    </w:pPr>
    <w:rPr>
      <w:rFonts w:cs="宋体"/>
      <w:color w:val="292929"/>
      <w:kern w:val="2"/>
      <w:sz w:val="24"/>
    </w:rPr>
  </w:style>
  <w:style w:type="paragraph" w:customStyle="1" w:styleId="256">
    <w:name w:val="表格内容"/>
    <w:basedOn w:val="1"/>
    <w:next w:val="1"/>
    <w:qFormat/>
    <w:uiPriority w:val="0"/>
    <w:pPr>
      <w:widowControl w:val="0"/>
      <w:spacing w:line="312" w:lineRule="auto"/>
      <w:jc w:val="both"/>
    </w:pPr>
    <w:rPr>
      <w:rFonts w:ascii="宋体"/>
      <w:kern w:val="2"/>
    </w:rPr>
  </w:style>
  <w:style w:type="paragraph" w:customStyle="1" w:styleId="257">
    <w:name w:val="Char2"/>
    <w:basedOn w:val="15"/>
    <w:link w:val="352"/>
    <w:qFormat/>
    <w:uiPriority w:val="0"/>
    <w:pPr>
      <w:widowControl w:val="0"/>
      <w:adjustRightInd w:val="0"/>
      <w:jc w:val="both"/>
      <w:textAlignment w:val="baseline"/>
    </w:pPr>
    <w:rPr>
      <w:rFonts w:ascii="Tahoma" w:hAnsi="Tahoma"/>
      <w:kern w:val="2"/>
      <w:sz w:val="24"/>
      <w:szCs w:val="24"/>
    </w:rPr>
  </w:style>
  <w:style w:type="paragraph" w:customStyle="1" w:styleId="258">
    <w:name w:val="Default"/>
    <w:link w:val="37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59">
    <w:name w:val="Char Char Char Char Char Char Char"/>
    <w:basedOn w:val="1"/>
    <w:qFormat/>
    <w:uiPriority w:val="0"/>
    <w:pPr>
      <w:widowControl w:val="0"/>
      <w:tabs>
        <w:tab w:val="left" w:pos="425"/>
      </w:tabs>
      <w:ind w:left="425" w:hanging="425"/>
      <w:jc w:val="both"/>
    </w:pPr>
    <w:rPr>
      <w:rFonts w:eastAsia="仿宋_GB2312"/>
      <w:kern w:val="24"/>
      <w:sz w:val="24"/>
      <w:szCs w:val="24"/>
    </w:rPr>
  </w:style>
  <w:style w:type="paragraph" w:customStyle="1" w:styleId="26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2"/>
      <w:szCs w:val="28"/>
    </w:rPr>
  </w:style>
  <w:style w:type="paragraph" w:customStyle="1" w:styleId="261">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rPr>
  </w:style>
  <w:style w:type="paragraph" w:customStyle="1" w:styleId="262">
    <w:name w:val="缩进正文"/>
    <w:basedOn w:val="1"/>
    <w:qFormat/>
    <w:uiPriority w:val="0"/>
    <w:pPr>
      <w:widowControl w:val="0"/>
      <w:spacing w:line="360" w:lineRule="auto"/>
      <w:ind w:firstLine="527"/>
      <w:jc w:val="both"/>
    </w:pPr>
    <w:rPr>
      <w:kern w:val="2"/>
      <w:sz w:val="24"/>
    </w:rPr>
  </w:style>
  <w:style w:type="paragraph" w:customStyle="1" w:styleId="263">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264">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65">
    <w:name w:val="正文+小四"/>
    <w:basedOn w:val="6"/>
    <w:qFormat/>
    <w:uiPriority w:val="0"/>
    <w:pPr>
      <w:keepNext/>
      <w:keepLines/>
      <w:tabs>
        <w:tab w:val="clear" w:pos="864"/>
      </w:tabs>
      <w:adjustRightInd/>
      <w:snapToGrid/>
      <w:spacing w:beforeLines="50" w:afterLines="50" w:line="300" w:lineRule="auto"/>
      <w:ind w:left="0" w:firstLine="0"/>
    </w:pPr>
    <w:rPr>
      <w:rFonts w:hAnsi="宋体"/>
      <w:b/>
      <w:bCs/>
      <w:color w:val="auto"/>
      <w:sz w:val="24"/>
      <w:szCs w:val="28"/>
    </w:rPr>
  </w:style>
  <w:style w:type="paragraph" w:customStyle="1" w:styleId="266">
    <w:name w:val="点序列"/>
    <w:basedOn w:val="1"/>
    <w:qFormat/>
    <w:uiPriority w:val="0"/>
    <w:pPr>
      <w:widowControl w:val="0"/>
      <w:numPr>
        <w:ilvl w:val="0"/>
        <w:numId w:val="8"/>
      </w:numPr>
      <w:adjustRightInd w:val="0"/>
      <w:spacing w:before="60" w:after="60" w:line="300" w:lineRule="auto"/>
      <w:jc w:val="both"/>
      <w:textAlignment w:val="baseline"/>
    </w:pPr>
    <w:rPr>
      <w:rFonts w:eastAsia="仿宋_GB2312"/>
      <w:sz w:val="24"/>
    </w:rPr>
  </w:style>
  <w:style w:type="paragraph" w:customStyle="1" w:styleId="267">
    <w:name w:val="表号_报告"/>
    <w:basedOn w:val="1"/>
    <w:qFormat/>
    <w:uiPriority w:val="0"/>
    <w:pPr>
      <w:widowControl w:val="0"/>
      <w:adjustRightInd w:val="0"/>
      <w:snapToGrid w:val="0"/>
    </w:pPr>
    <w:rPr>
      <w:rFonts w:ascii="仿宋_GB2312" w:eastAsia="仿宋_GB2312"/>
      <w:kern w:val="2"/>
    </w:rPr>
  </w:style>
  <w:style w:type="paragraph" w:customStyle="1" w:styleId="26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269">
    <w:name w:val="表格名称"/>
    <w:basedOn w:val="1"/>
    <w:link w:val="381"/>
    <w:qFormat/>
    <w:uiPriority w:val="0"/>
    <w:pPr>
      <w:widowControl w:val="0"/>
      <w:tabs>
        <w:tab w:val="left" w:pos="420"/>
        <w:tab w:val="left" w:pos="510"/>
      </w:tabs>
      <w:spacing w:line="360" w:lineRule="auto"/>
      <w:ind w:left="510"/>
      <w:jc w:val="center"/>
    </w:pPr>
    <w:rPr>
      <w:rFonts w:ascii="宋体" w:hAnsi="宋体"/>
      <w:b/>
      <w:kern w:val="2"/>
      <w:szCs w:val="21"/>
    </w:rPr>
  </w:style>
  <w:style w:type="character" w:customStyle="1" w:styleId="270">
    <w:name w:val="Char Char23"/>
    <w:qFormat/>
    <w:uiPriority w:val="0"/>
    <w:rPr>
      <w:rFonts w:ascii="宋体" w:hAnsi="Times New Roman" w:eastAsia="宋体" w:cs="宋体"/>
      <w:kern w:val="0"/>
      <w:sz w:val="21"/>
      <w:szCs w:val="21"/>
    </w:rPr>
  </w:style>
  <w:style w:type="character" w:customStyle="1" w:styleId="271">
    <w:name w:val="apple-style-span"/>
    <w:qFormat/>
    <w:uiPriority w:val="0"/>
    <w:rPr>
      <w:rFonts w:cs="Times New Roman"/>
    </w:rPr>
  </w:style>
  <w:style w:type="character" w:customStyle="1" w:styleId="272">
    <w:name w:val="a-list-item"/>
    <w:basedOn w:val="51"/>
    <w:qFormat/>
    <w:uiPriority w:val="0"/>
  </w:style>
  <w:style w:type="character" w:customStyle="1" w:styleId="273">
    <w:name w:val="Heading 2 Char"/>
    <w:qFormat/>
    <w:locked/>
    <w:uiPriority w:val="0"/>
    <w:rPr>
      <w:rFonts w:ascii="宋体" w:hAnsi="Arial" w:eastAsia="宋体" w:cs="宋体"/>
      <w:sz w:val="32"/>
      <w:lang w:val="en-US" w:eastAsia="zh-CN" w:bidi="ar-SA"/>
    </w:rPr>
  </w:style>
  <w:style w:type="character" w:customStyle="1" w:styleId="274">
    <w:name w:val="wf1"/>
    <w:qFormat/>
    <w:uiPriority w:val="0"/>
    <w:rPr>
      <w:rFonts w:ascii="宋体" w:hAnsi="宋体" w:eastAsia="宋体"/>
      <w:sz w:val="24"/>
    </w:rPr>
  </w:style>
  <w:style w:type="character" w:customStyle="1" w:styleId="275">
    <w:name w:val="标题 Char Char"/>
    <w:qFormat/>
    <w:uiPriority w:val="0"/>
    <w:rPr>
      <w:rFonts w:ascii="Arial" w:hAnsi="Arial" w:eastAsia="宋体"/>
      <w:b/>
      <w:kern w:val="2"/>
      <w:sz w:val="36"/>
      <w:szCs w:val="24"/>
      <w:lang w:val="en-US" w:eastAsia="zh-CN" w:bidi="ar-SA"/>
    </w:rPr>
  </w:style>
  <w:style w:type="character" w:customStyle="1" w:styleId="276">
    <w:name w:val="普通文字 Char Char"/>
    <w:qFormat/>
    <w:uiPriority w:val="0"/>
    <w:rPr>
      <w:rFonts w:ascii="宋体" w:hAnsi="Courier New" w:eastAsia="宋体"/>
      <w:kern w:val="2"/>
      <w:sz w:val="21"/>
      <w:lang w:val="en-US" w:eastAsia="zh-CN" w:bidi="ar-SA"/>
    </w:rPr>
  </w:style>
  <w:style w:type="character" w:customStyle="1" w:styleId="277">
    <w:name w:val="Plain Text Char"/>
    <w:qFormat/>
    <w:uiPriority w:val="0"/>
    <w:rPr>
      <w:rFonts w:ascii="宋体" w:hAnsi="Courier New" w:eastAsia="宋体"/>
      <w:kern w:val="2"/>
      <w:sz w:val="21"/>
      <w:lang w:val="en-US" w:eastAsia="zh-CN"/>
    </w:rPr>
  </w:style>
  <w:style w:type="character" w:customStyle="1" w:styleId="278">
    <w:name w:val="List Paragraph Char"/>
    <w:link w:val="140"/>
    <w:qFormat/>
    <w:locked/>
    <w:uiPriority w:val="0"/>
    <w:rPr>
      <w:rFonts w:ascii="Calibri" w:hAnsi="Calibri" w:eastAsia="宋体"/>
      <w:kern w:val="2"/>
      <w:sz w:val="21"/>
      <w:szCs w:val="22"/>
      <w:lang w:val="en-US" w:eastAsia="zh-CN" w:bidi="ar-SA"/>
    </w:rPr>
  </w:style>
  <w:style w:type="character" w:customStyle="1" w:styleId="279">
    <w:name w:val="Char Char111"/>
    <w:qFormat/>
    <w:uiPriority w:val="0"/>
    <w:rPr>
      <w:kern w:val="2"/>
      <w:sz w:val="18"/>
    </w:rPr>
  </w:style>
  <w:style w:type="character" w:customStyle="1" w:styleId="280">
    <w:name w:val="纯文本 Char1"/>
    <w:link w:val="23"/>
    <w:qFormat/>
    <w:uiPriority w:val="0"/>
    <w:rPr>
      <w:rFonts w:ascii="宋体" w:hAnsi="Courier New" w:eastAsia="宋体"/>
      <w:kern w:val="2"/>
      <w:sz w:val="21"/>
      <w:lang w:val="en-US" w:eastAsia="zh-CN" w:bidi="ar-SA"/>
    </w:rPr>
  </w:style>
  <w:style w:type="character" w:customStyle="1" w:styleId="281">
    <w:name w:val="标题 Char"/>
    <w:qFormat/>
    <w:uiPriority w:val="0"/>
    <w:rPr>
      <w:rFonts w:ascii="Arial" w:hAnsi="Arial" w:eastAsia="宋体"/>
      <w:b/>
      <w:kern w:val="2"/>
      <w:sz w:val="36"/>
      <w:szCs w:val="24"/>
      <w:lang w:val="en-US" w:eastAsia="zh-CN" w:bidi="ar-SA"/>
    </w:rPr>
  </w:style>
  <w:style w:type="character" w:customStyle="1" w:styleId="282">
    <w:name w:val="font41"/>
    <w:qFormat/>
    <w:uiPriority w:val="0"/>
    <w:rPr>
      <w:rFonts w:ascii="Arial" w:hAnsi="Arial" w:cs="Arial"/>
      <w:color w:val="000000"/>
      <w:sz w:val="18"/>
      <w:szCs w:val="18"/>
      <w:u w:val="none"/>
    </w:rPr>
  </w:style>
  <w:style w:type="character" w:customStyle="1" w:styleId="283">
    <w:name w:val="Char Char7"/>
    <w:qFormat/>
    <w:uiPriority w:val="0"/>
    <w:rPr>
      <w:rFonts w:eastAsia="宋体"/>
      <w:sz w:val="18"/>
      <w:lang w:val="en-US" w:eastAsia="zh-CN" w:bidi="ar-SA"/>
    </w:rPr>
  </w:style>
  <w:style w:type="character" w:customStyle="1" w:styleId="284">
    <w:name w:val="正文文本 字符"/>
    <w:qFormat/>
    <w:locked/>
    <w:uiPriority w:val="0"/>
    <w:rPr>
      <w:rFonts w:eastAsia="宋体"/>
      <w:kern w:val="2"/>
      <w:sz w:val="28"/>
      <w:lang w:val="en-US" w:eastAsia="zh-CN" w:bidi="ar-SA"/>
    </w:rPr>
  </w:style>
  <w:style w:type="character" w:customStyle="1" w:styleId="285">
    <w:name w:val="真正正文+首缩2 Char"/>
    <w:link w:val="232"/>
    <w:qFormat/>
    <w:uiPriority w:val="0"/>
    <w:rPr>
      <w:rFonts w:eastAsia="仿宋_GB2312"/>
      <w:kern w:val="2"/>
      <w:sz w:val="28"/>
      <w:szCs w:val="28"/>
      <w:lang w:val="en-US" w:eastAsia="zh-CN" w:bidi="ar-SA"/>
    </w:rPr>
  </w:style>
  <w:style w:type="character" w:customStyle="1" w:styleId="286">
    <w:name w:val="正文首行缩进 2 Char"/>
    <w:link w:val="46"/>
    <w:qFormat/>
    <w:locked/>
    <w:uiPriority w:val="0"/>
    <w:rPr>
      <w:rFonts w:ascii="宋体" w:eastAsia="宋体"/>
      <w:kern w:val="2"/>
      <w:sz w:val="21"/>
      <w:lang w:val="en-US" w:eastAsia="zh-CN" w:bidi="ar-SA"/>
    </w:rPr>
  </w:style>
  <w:style w:type="character" w:customStyle="1" w:styleId="287">
    <w:name w:val="Normal Indent Char1"/>
    <w:qFormat/>
    <w:locked/>
    <w:uiPriority w:val="0"/>
    <w:rPr>
      <w:rFonts w:eastAsia="宋体"/>
      <w:lang w:val="en-US" w:eastAsia="zh-CN" w:bidi="ar-SA"/>
    </w:rPr>
  </w:style>
  <w:style w:type="character" w:customStyle="1" w:styleId="288">
    <w:name w:val="Char Char71"/>
    <w:qFormat/>
    <w:uiPriority w:val="0"/>
    <w:rPr>
      <w:rFonts w:ascii="宋体" w:hAnsi="Courier New" w:eastAsia="宋体" w:cs="Times New Roman"/>
      <w:sz w:val="21"/>
      <w:szCs w:val="21"/>
    </w:rPr>
  </w:style>
  <w:style w:type="character" w:customStyle="1" w:styleId="289">
    <w:name w:val="日期 Char"/>
    <w:link w:val="25"/>
    <w:qFormat/>
    <w:locked/>
    <w:uiPriority w:val="0"/>
    <w:rPr>
      <w:rFonts w:ascii="楷体_GB2312" w:eastAsia="楷体_GB2312"/>
      <w:kern w:val="2"/>
      <w:sz w:val="28"/>
      <w:lang w:val="en-US" w:eastAsia="zh-CN" w:bidi="ar-SA"/>
    </w:rPr>
  </w:style>
  <w:style w:type="character" w:customStyle="1" w:styleId="290">
    <w:name w:val="标题 8 Char"/>
    <w:link w:val="11"/>
    <w:qFormat/>
    <w:locked/>
    <w:uiPriority w:val="0"/>
    <w:rPr>
      <w:rFonts w:ascii="Arial" w:hAnsi="Arial" w:eastAsia="黑体"/>
      <w:snapToGrid w:val="0"/>
      <w:color w:val="000000"/>
      <w:sz w:val="24"/>
      <w:lang w:val="en-US" w:eastAsia="zh-CN" w:bidi="ar-SA"/>
    </w:rPr>
  </w:style>
  <w:style w:type="character" w:customStyle="1" w:styleId="291">
    <w:name w:val="Normal Indent Char"/>
    <w:qFormat/>
    <w:uiPriority w:val="0"/>
    <w:rPr>
      <w:rFonts w:ascii="宋体" w:hAnsi="宋体" w:eastAsia="宋体"/>
      <w:sz w:val="21"/>
      <w:lang w:val="en-US" w:eastAsia="zh-CN"/>
    </w:rPr>
  </w:style>
  <w:style w:type="character" w:customStyle="1" w:styleId="292">
    <w:name w:val="span_paramvalue"/>
    <w:basedOn w:val="51"/>
    <w:qFormat/>
    <w:uiPriority w:val="0"/>
  </w:style>
  <w:style w:type="character" w:customStyle="1" w:styleId="293">
    <w:name w:val="Char Char22"/>
    <w:qFormat/>
    <w:uiPriority w:val="0"/>
    <w:rPr>
      <w:rFonts w:ascii="Arial" w:hAnsi="Arial" w:eastAsia="黑体" w:cs="Arial"/>
      <w:b/>
      <w:bCs/>
      <w:kern w:val="0"/>
      <w:sz w:val="28"/>
      <w:szCs w:val="28"/>
    </w:rPr>
  </w:style>
  <w:style w:type="character" w:customStyle="1" w:styleId="294">
    <w:name w:val="Char Char16"/>
    <w:qFormat/>
    <w:uiPriority w:val="0"/>
    <w:rPr>
      <w:rFonts w:ascii="宋体" w:eastAsia="宋体"/>
    </w:rPr>
  </w:style>
  <w:style w:type="character" w:customStyle="1" w:styleId="295">
    <w:name w:val="标题 5 Char"/>
    <w:link w:val="8"/>
    <w:qFormat/>
    <w:locked/>
    <w:uiPriority w:val="0"/>
    <w:rPr>
      <w:rFonts w:ascii="宋体" w:eastAsia="宋体"/>
      <w:b/>
      <w:snapToGrid w:val="0"/>
      <w:color w:val="000000"/>
      <w:sz w:val="28"/>
      <w:lang w:val="en-US" w:eastAsia="zh-CN" w:bidi="ar-SA"/>
    </w:rPr>
  </w:style>
  <w:style w:type="character" w:customStyle="1" w:styleId="296">
    <w:name w:val="正文文本缩进 3 Char1"/>
    <w:qFormat/>
    <w:locked/>
    <w:uiPriority w:val="0"/>
    <w:rPr>
      <w:rFonts w:ascii="Times New Roman" w:hAnsi="Times New Roman" w:eastAsia="宋体" w:cs="Times New Roman"/>
      <w:kern w:val="0"/>
      <w:sz w:val="16"/>
      <w:szCs w:val="16"/>
    </w:rPr>
  </w:style>
  <w:style w:type="character" w:customStyle="1" w:styleId="297">
    <w:name w:val="标题 6 Char"/>
    <w:link w:val="9"/>
    <w:qFormat/>
    <w:locked/>
    <w:uiPriority w:val="0"/>
    <w:rPr>
      <w:rFonts w:ascii="Arial" w:hAnsi="Arial" w:eastAsia="黑体"/>
      <w:b/>
      <w:snapToGrid w:val="0"/>
      <w:color w:val="000000"/>
      <w:sz w:val="24"/>
      <w:lang w:val="en-US" w:eastAsia="zh-CN" w:bidi="ar-SA"/>
    </w:rPr>
  </w:style>
  <w:style w:type="character" w:customStyle="1" w:styleId="298">
    <w:name w:val="Footer Char1"/>
    <w:qFormat/>
    <w:locked/>
    <w:uiPriority w:val="0"/>
    <w:rPr>
      <w:rFonts w:ascii="Calibri" w:hAnsi="Calibri" w:eastAsia="宋体" w:cs="黑体"/>
      <w:kern w:val="2"/>
      <w:sz w:val="18"/>
      <w:szCs w:val="22"/>
      <w:lang w:val="en-US" w:eastAsia="zh-CN" w:bidi="ar-SA"/>
    </w:rPr>
  </w:style>
  <w:style w:type="character" w:customStyle="1" w:styleId="299">
    <w:name w:val="正文缩进 Char"/>
    <w:qFormat/>
    <w:uiPriority w:val="0"/>
    <w:rPr>
      <w:rFonts w:eastAsia="宋体"/>
      <w:sz w:val="21"/>
      <w:lang w:val="en-US" w:eastAsia="zh-CN"/>
    </w:rPr>
  </w:style>
  <w:style w:type="character" w:customStyle="1" w:styleId="300">
    <w:name w:val="Plain Text Char1"/>
    <w:qFormat/>
    <w:uiPriority w:val="0"/>
    <w:rPr>
      <w:rFonts w:ascii="宋体" w:hAnsi="Courier New" w:eastAsia="宋体"/>
      <w:b/>
      <w:i/>
      <w:color w:val="000000"/>
      <w:sz w:val="21"/>
      <w:lang w:val="en-US" w:eastAsia="zh-CN"/>
    </w:rPr>
  </w:style>
  <w:style w:type="character" w:customStyle="1" w:styleId="301">
    <w:name w:val="正文加粗 Char Char"/>
    <w:link w:val="174"/>
    <w:qFormat/>
    <w:locked/>
    <w:uiPriority w:val="0"/>
    <w:rPr>
      <w:rFonts w:ascii="Arial" w:hAnsi="Arial" w:eastAsia="宋体" w:cs="宋体"/>
      <w:b/>
      <w:bCs/>
      <w:kern w:val="2"/>
      <w:sz w:val="24"/>
      <w:szCs w:val="22"/>
      <w:lang w:val="en-US" w:eastAsia="en-US" w:bidi="ar-SA"/>
    </w:rPr>
  </w:style>
  <w:style w:type="character" w:customStyle="1" w:styleId="302">
    <w:name w:val="标题 9 Char"/>
    <w:link w:val="12"/>
    <w:qFormat/>
    <w:locked/>
    <w:uiPriority w:val="0"/>
    <w:rPr>
      <w:rFonts w:ascii="Arial" w:hAnsi="Arial" w:eastAsia="黑体"/>
      <w:snapToGrid w:val="0"/>
      <w:color w:val="000000"/>
      <w:sz w:val="21"/>
      <w:lang w:val="en-US" w:eastAsia="zh-CN" w:bidi="ar-SA"/>
    </w:rPr>
  </w:style>
  <w:style w:type="character" w:customStyle="1" w:styleId="303">
    <w:name w:val="font31"/>
    <w:qFormat/>
    <w:uiPriority w:val="0"/>
    <w:rPr>
      <w:rFonts w:ascii="宋体" w:hAnsi="宋体" w:eastAsia="宋体" w:cs="宋体"/>
      <w:color w:val="000000"/>
      <w:sz w:val="18"/>
      <w:szCs w:val="18"/>
      <w:u w:val="none"/>
    </w:rPr>
  </w:style>
  <w:style w:type="character" w:customStyle="1" w:styleId="304">
    <w:name w:val="h Char2"/>
    <w:qFormat/>
    <w:uiPriority w:val="0"/>
    <w:rPr>
      <w:rFonts w:eastAsia="宋体"/>
      <w:sz w:val="18"/>
      <w:szCs w:val="18"/>
      <w:lang w:val="en-US" w:eastAsia="zh-CN" w:bidi="ar-SA"/>
    </w:rPr>
  </w:style>
  <w:style w:type="character" w:customStyle="1" w:styleId="305">
    <w:name w:val="链接"/>
    <w:qFormat/>
    <w:uiPriority w:val="0"/>
    <w:rPr>
      <w:rFonts w:ascii="Times New Roman" w:eastAsia="宋体" w:cs="Times New Roman"/>
      <w:color w:val="0000FF"/>
      <w:sz w:val="21"/>
      <w:u w:val="single" w:color="0000FF"/>
      <w:lang w:val="en-US" w:eastAsia="zh-CN"/>
    </w:rPr>
  </w:style>
  <w:style w:type="character" w:customStyle="1" w:styleId="306">
    <w:name w:val="正文缩进 Char1"/>
    <w:link w:val="7"/>
    <w:qFormat/>
    <w:locked/>
    <w:uiPriority w:val="0"/>
    <w:rPr>
      <w:rFonts w:eastAsia="宋体"/>
      <w:sz w:val="21"/>
      <w:lang w:val="en-US" w:eastAsia="zh-CN" w:bidi="ar-SA"/>
    </w:rPr>
  </w:style>
  <w:style w:type="character" w:customStyle="1" w:styleId="307">
    <w:name w:val="正文文本缩进 Char1"/>
    <w:qFormat/>
    <w:locked/>
    <w:uiPriority w:val="0"/>
    <w:rPr>
      <w:rFonts w:ascii="Times New Roman" w:hAnsi="Times New Roman" w:eastAsia="宋体" w:cs="Times New Roman"/>
      <w:kern w:val="0"/>
      <w:sz w:val="20"/>
      <w:szCs w:val="20"/>
    </w:rPr>
  </w:style>
  <w:style w:type="character" w:customStyle="1" w:styleId="308">
    <w:name w:val="批注主题 Char"/>
    <w:link w:val="44"/>
    <w:qFormat/>
    <w:locked/>
    <w:uiPriority w:val="0"/>
    <w:rPr>
      <w:rFonts w:ascii="Times New Roman" w:hAnsi="Times New Roman" w:eastAsia="宋体" w:cs="Times New Roman"/>
      <w:b/>
      <w:bCs/>
      <w:sz w:val="21"/>
      <w:szCs w:val="21"/>
      <w:lang w:val="en-US" w:eastAsia="zh-CN" w:bidi="ar-SA"/>
    </w:rPr>
  </w:style>
  <w:style w:type="character" w:customStyle="1" w:styleId="309">
    <w:name w:val="页眉 字符"/>
    <w:qFormat/>
    <w:uiPriority w:val="0"/>
    <w:rPr>
      <w:rFonts w:eastAsia="宋体"/>
      <w:sz w:val="18"/>
      <w:lang w:val="en-US" w:eastAsia="zh-CN" w:bidi="ar-SA"/>
    </w:rPr>
  </w:style>
  <w:style w:type="character" w:customStyle="1" w:styleId="310">
    <w:name w:val="批注文字 Char"/>
    <w:link w:val="17"/>
    <w:qFormat/>
    <w:locked/>
    <w:uiPriority w:val="0"/>
    <w:rPr>
      <w:rFonts w:eastAsia="宋体"/>
      <w:kern w:val="2"/>
      <w:sz w:val="21"/>
      <w:szCs w:val="24"/>
      <w:lang w:val="en-US" w:eastAsia="zh-CN" w:bidi="ar-SA"/>
    </w:rPr>
  </w:style>
  <w:style w:type="character" w:customStyle="1" w:styleId="311">
    <w:name w:val="标题 3 Char"/>
    <w:qFormat/>
    <w:locked/>
    <w:uiPriority w:val="0"/>
    <w:rPr>
      <w:rFonts w:ascii="Times New Roman" w:hAnsi="Times New Roman" w:eastAsia="宋体" w:cs="Times New Roman"/>
      <w:b/>
      <w:bCs/>
      <w:kern w:val="0"/>
      <w:sz w:val="32"/>
      <w:szCs w:val="32"/>
    </w:rPr>
  </w:style>
  <w:style w:type="character" w:customStyle="1" w:styleId="312">
    <w:name w:val="txt11"/>
    <w:qFormat/>
    <w:uiPriority w:val="0"/>
    <w:rPr>
      <w:rFonts w:hint="default" w:ascii="Arial" w:hAnsi="Arial" w:cs="Arial"/>
      <w:color w:val="000000"/>
      <w:sz w:val="18"/>
      <w:szCs w:val="18"/>
    </w:rPr>
  </w:style>
  <w:style w:type="character" w:customStyle="1" w:styleId="313">
    <w:name w:val="59"/>
    <w:qFormat/>
    <w:uiPriority w:val="0"/>
    <w:rPr>
      <w:rFonts w:eastAsia="宋体" w:cs="Times New Roman"/>
      <w:kern w:val="2"/>
      <w:sz w:val="24"/>
      <w:szCs w:val="24"/>
      <w:lang w:val="en-US" w:eastAsia="zh-CN" w:bidi="ar-SA"/>
    </w:rPr>
  </w:style>
  <w:style w:type="character" w:customStyle="1" w:styleId="314">
    <w:name w:val="日期 Char1"/>
    <w:qFormat/>
    <w:locked/>
    <w:uiPriority w:val="0"/>
    <w:rPr>
      <w:rFonts w:ascii="Times New Roman" w:hAnsi="Times New Roman" w:eastAsia="宋体" w:cs="Times New Roman"/>
      <w:kern w:val="0"/>
      <w:sz w:val="20"/>
      <w:szCs w:val="20"/>
    </w:rPr>
  </w:style>
  <w:style w:type="character" w:customStyle="1" w:styleId="315">
    <w:name w:val="表正文 Char"/>
    <w:qFormat/>
    <w:uiPriority w:val="0"/>
    <w:rPr>
      <w:rFonts w:eastAsia="宋体"/>
      <w:kern w:val="2"/>
      <w:sz w:val="21"/>
      <w:szCs w:val="24"/>
      <w:lang w:val="en-US" w:eastAsia="zh-CN" w:bidi="ar-SA"/>
    </w:rPr>
  </w:style>
  <w:style w:type="character" w:customStyle="1" w:styleId="316">
    <w:name w:val="Heading 3 Char"/>
    <w:qFormat/>
    <w:uiPriority w:val="0"/>
    <w:rPr>
      <w:rFonts w:ascii="宋体" w:hAnsi="Times New Roman" w:eastAsia="宋体" w:cs="宋体"/>
      <w:kern w:val="0"/>
      <w:sz w:val="20"/>
      <w:szCs w:val="20"/>
    </w:rPr>
  </w:style>
  <w:style w:type="character" w:customStyle="1" w:styleId="317">
    <w:name w:val="文档结构图 Char"/>
    <w:link w:val="15"/>
    <w:qFormat/>
    <w:uiPriority w:val="0"/>
    <w:rPr>
      <w:rFonts w:eastAsia="宋体"/>
      <w:sz w:val="21"/>
      <w:lang w:val="en-US" w:eastAsia="zh-CN" w:bidi="ar-SA"/>
    </w:rPr>
  </w:style>
  <w:style w:type="character" w:customStyle="1" w:styleId="318">
    <w:name w:val="标题 2 Char"/>
    <w:qFormat/>
    <w:locked/>
    <w:uiPriority w:val="0"/>
    <w:rPr>
      <w:rFonts w:ascii="Cambria" w:hAnsi="Cambria" w:eastAsia="宋体" w:cs="黑体"/>
      <w:b/>
      <w:bCs/>
      <w:kern w:val="0"/>
      <w:sz w:val="32"/>
      <w:szCs w:val="32"/>
    </w:rPr>
  </w:style>
  <w:style w:type="character" w:customStyle="1" w:styleId="319">
    <w:name w:val="zhi101"/>
    <w:qFormat/>
    <w:uiPriority w:val="0"/>
    <w:rPr>
      <w:rFonts w:hint="eastAsia" w:ascii="宋体" w:hAnsi="宋体" w:eastAsia="宋体"/>
      <w:color w:val="0000FF"/>
      <w:sz w:val="20"/>
      <w:szCs w:val="20"/>
    </w:rPr>
  </w:style>
  <w:style w:type="character" w:customStyle="1" w:styleId="320">
    <w:name w:val="文字 Char"/>
    <w:link w:val="224"/>
    <w:qFormat/>
    <w:uiPriority w:val="0"/>
    <w:rPr>
      <w:rFonts w:ascii="宋体" w:eastAsia="宋体"/>
      <w:kern w:val="2"/>
      <w:sz w:val="28"/>
      <w:lang w:val="en-US" w:eastAsia="zh-CN" w:bidi="ar-SA"/>
    </w:rPr>
  </w:style>
  <w:style w:type="character" w:customStyle="1" w:styleId="321">
    <w:name w:val="页眉 Char1"/>
    <w:link w:val="29"/>
    <w:qFormat/>
    <w:uiPriority w:val="0"/>
    <w:rPr>
      <w:rFonts w:eastAsia="宋体"/>
      <w:sz w:val="18"/>
      <w:lang w:val="en-US" w:eastAsia="zh-CN" w:bidi="ar-SA"/>
    </w:rPr>
  </w:style>
  <w:style w:type="character" w:customStyle="1" w:styleId="322">
    <w:name w:val="正文内容 Char"/>
    <w:link w:val="229"/>
    <w:qFormat/>
    <w:locked/>
    <w:uiPriority w:val="0"/>
    <w:rPr>
      <w:rFonts w:ascii="Arial" w:hAnsi="Arial" w:eastAsia="宋体"/>
      <w:spacing w:val="-12"/>
      <w:kern w:val="2"/>
      <w:sz w:val="21"/>
      <w:lang w:val="en-US" w:eastAsia="zh-CN" w:bidi="ar-SA"/>
    </w:rPr>
  </w:style>
  <w:style w:type="character" w:customStyle="1" w:styleId="323">
    <w:name w:val="正文文本 2 Char"/>
    <w:link w:val="40"/>
    <w:qFormat/>
    <w:locked/>
    <w:uiPriority w:val="0"/>
    <w:rPr>
      <w:rFonts w:ascii="宋体" w:hAnsi="宋体" w:eastAsia="宋体"/>
      <w:color w:val="000000"/>
      <w:sz w:val="24"/>
      <w:lang w:val="en-US" w:eastAsia="zh-CN" w:bidi="ar-SA"/>
    </w:rPr>
  </w:style>
  <w:style w:type="character" w:customStyle="1" w:styleId="324">
    <w:name w:val="正文首行缩进 Char"/>
    <w:link w:val="45"/>
    <w:qFormat/>
    <w:locked/>
    <w:uiPriority w:val="0"/>
    <w:rPr>
      <w:rFonts w:eastAsia="宋体"/>
      <w:kern w:val="2"/>
      <w:sz w:val="21"/>
      <w:szCs w:val="24"/>
      <w:lang w:val="en-US" w:eastAsia="zh-CN" w:bidi="ar-SA"/>
    </w:rPr>
  </w:style>
  <w:style w:type="character" w:customStyle="1" w:styleId="325">
    <w:name w:val="Char Char4"/>
    <w:qFormat/>
    <w:uiPriority w:val="0"/>
    <w:rPr>
      <w:rFonts w:eastAsia="宋体"/>
      <w:szCs w:val="24"/>
      <w:lang w:bidi="ar-SA"/>
    </w:rPr>
  </w:style>
  <w:style w:type="character" w:customStyle="1" w:styleId="326">
    <w:name w:val="Char Char14"/>
    <w:qFormat/>
    <w:uiPriority w:val="0"/>
    <w:rPr>
      <w:rFonts w:ascii="Times New Roman" w:hAnsi="Times New Roman" w:eastAsia="宋体" w:cs="Times New Roman"/>
      <w:sz w:val="21"/>
      <w:szCs w:val="21"/>
    </w:rPr>
  </w:style>
  <w:style w:type="character" w:customStyle="1" w:styleId="327">
    <w:name w:val="Document Map Char"/>
    <w:qFormat/>
    <w:locked/>
    <w:uiPriority w:val="0"/>
    <w:rPr>
      <w:rFonts w:ascii="Calibri" w:hAnsi="Calibri" w:eastAsia="宋体" w:cs="黑体"/>
      <w:kern w:val="2"/>
      <w:sz w:val="21"/>
      <w:szCs w:val="22"/>
      <w:lang w:val="en-US" w:eastAsia="zh-CN" w:bidi="ar-SA"/>
    </w:rPr>
  </w:style>
  <w:style w:type="character" w:customStyle="1" w:styleId="328">
    <w:name w:val="正文文本缩进 Char"/>
    <w:link w:val="19"/>
    <w:qFormat/>
    <w:locked/>
    <w:uiPriority w:val="0"/>
    <w:rPr>
      <w:rFonts w:ascii="宋体" w:eastAsia="宋体"/>
      <w:kern w:val="2"/>
      <w:sz w:val="24"/>
      <w:lang w:val="en-US" w:eastAsia="zh-CN" w:bidi="ar-SA"/>
    </w:rPr>
  </w:style>
  <w:style w:type="character" w:customStyle="1" w:styleId="329">
    <w:name w:val="Plain Text Char2"/>
    <w:qFormat/>
    <w:locked/>
    <w:uiPriority w:val="0"/>
    <w:rPr>
      <w:rFonts w:ascii="宋体" w:hAnsi="Courier New" w:eastAsia="宋体" w:cs="Courier New"/>
      <w:kern w:val="2"/>
      <w:sz w:val="21"/>
      <w:szCs w:val="21"/>
      <w:lang w:val="en-US" w:eastAsia="zh-CN" w:bidi="ar-SA"/>
    </w:rPr>
  </w:style>
  <w:style w:type="character" w:customStyle="1" w:styleId="330">
    <w:name w:val="页脚 Char"/>
    <w:qFormat/>
    <w:locked/>
    <w:uiPriority w:val="99"/>
    <w:rPr>
      <w:rFonts w:ascii="Times New Roman" w:hAnsi="Times New Roman" w:eastAsia="宋体" w:cs="Times New Roman"/>
      <w:kern w:val="0"/>
      <w:sz w:val="18"/>
      <w:szCs w:val="18"/>
    </w:rPr>
  </w:style>
  <w:style w:type="character" w:customStyle="1" w:styleId="331">
    <w:name w:val="style51"/>
    <w:qFormat/>
    <w:uiPriority w:val="0"/>
    <w:rPr>
      <w:color w:val="000000"/>
      <w:sz w:val="18"/>
    </w:rPr>
  </w:style>
  <w:style w:type="character" w:customStyle="1" w:styleId="332">
    <w:name w:val="huei12b1"/>
    <w:qFormat/>
    <w:uiPriority w:val="0"/>
    <w:rPr>
      <w:b/>
      <w:bCs/>
      <w:color w:val="333333"/>
      <w:sz w:val="18"/>
      <w:szCs w:val="18"/>
    </w:rPr>
  </w:style>
  <w:style w:type="character" w:customStyle="1" w:styleId="333">
    <w:name w:val="正文首行缩进 2 Char1"/>
    <w:basedOn w:val="307"/>
    <w:qFormat/>
    <w:locked/>
    <w:uiPriority w:val="0"/>
    <w:rPr>
      <w:rFonts w:ascii="Times New Roman" w:hAnsi="Times New Roman" w:eastAsia="宋体" w:cs="Times New Roman"/>
      <w:kern w:val="0"/>
      <w:sz w:val="20"/>
      <w:szCs w:val="20"/>
    </w:rPr>
  </w:style>
  <w:style w:type="character" w:customStyle="1" w:styleId="334">
    <w:name w:val="HTML 预设格式 Char"/>
    <w:link w:val="41"/>
    <w:qFormat/>
    <w:locked/>
    <w:uiPriority w:val="0"/>
    <w:rPr>
      <w:rFonts w:ascii="黑体" w:hAnsi="Courier New" w:eastAsia="黑体" w:cs="Courier New"/>
      <w:szCs w:val="21"/>
      <w:lang w:val="en-US" w:eastAsia="zh-CN" w:bidi="ar-SA"/>
    </w:rPr>
  </w:style>
  <w:style w:type="character" w:customStyle="1" w:styleId="335">
    <w:name w:val="正文缩进1 Char"/>
    <w:qFormat/>
    <w:uiPriority w:val="0"/>
    <w:rPr>
      <w:rFonts w:ascii="Times New Roman" w:hAnsi="Times New Roman" w:eastAsia="宋体" w:cs="Times New Roman"/>
      <w:szCs w:val="24"/>
    </w:rPr>
  </w:style>
  <w:style w:type="character" w:customStyle="1" w:styleId="336">
    <w:name w:val="批注框文本 Char"/>
    <w:qFormat/>
    <w:locked/>
    <w:uiPriority w:val="0"/>
    <w:rPr>
      <w:rFonts w:ascii="Times New Roman" w:hAnsi="Times New Roman" w:eastAsia="宋体" w:cs="Times New Roman"/>
      <w:kern w:val="0"/>
      <w:sz w:val="18"/>
      <w:szCs w:val="18"/>
    </w:rPr>
  </w:style>
  <w:style w:type="character" w:customStyle="1" w:styleId="337">
    <w:name w:val="批注主题 Char1"/>
    <w:qFormat/>
    <w:locked/>
    <w:uiPriority w:val="0"/>
    <w:rPr>
      <w:rFonts w:eastAsia="宋体"/>
      <w:b/>
      <w:bCs/>
      <w:kern w:val="2"/>
      <w:sz w:val="21"/>
      <w:szCs w:val="24"/>
      <w:lang w:val="en-US" w:eastAsia="zh-CN" w:bidi="ar-SA"/>
    </w:rPr>
  </w:style>
  <w:style w:type="character" w:customStyle="1" w:styleId="338">
    <w:name w:val="Header Char"/>
    <w:qFormat/>
    <w:locked/>
    <w:uiPriority w:val="0"/>
    <w:rPr>
      <w:rFonts w:ascii="Calibri" w:hAnsi="Calibri" w:eastAsia="宋体" w:cs="黑体"/>
      <w:kern w:val="2"/>
      <w:sz w:val="18"/>
      <w:szCs w:val="22"/>
      <w:lang w:val="en-US" w:eastAsia="zh-CN" w:bidi="ar-SA"/>
    </w:rPr>
  </w:style>
  <w:style w:type="character" w:customStyle="1" w:styleId="339">
    <w:name w:val="表格正文 Char"/>
    <w:link w:val="95"/>
    <w:qFormat/>
    <w:uiPriority w:val="0"/>
    <w:rPr>
      <w:rFonts w:eastAsia="宋体"/>
      <w:sz w:val="24"/>
      <w:lang w:val="en-US" w:eastAsia="zh-CN" w:bidi="ar-SA"/>
    </w:rPr>
  </w:style>
  <w:style w:type="character" w:customStyle="1" w:styleId="340">
    <w:name w:val="标题 3 Char1"/>
    <w:link w:val="5"/>
    <w:qFormat/>
    <w:uiPriority w:val="0"/>
    <w:rPr>
      <w:rFonts w:ascii="宋体" w:eastAsia="宋体"/>
      <w:snapToGrid w:val="0"/>
      <w:sz w:val="21"/>
      <w:lang w:val="en-US" w:eastAsia="zh-CN" w:bidi="ar-SA"/>
    </w:rPr>
  </w:style>
  <w:style w:type="character" w:customStyle="1" w:styleId="341">
    <w:name w:val="批注框文本 Char1"/>
    <w:link w:val="27"/>
    <w:qFormat/>
    <w:locked/>
    <w:uiPriority w:val="0"/>
    <w:rPr>
      <w:rFonts w:eastAsia="宋体"/>
      <w:kern w:val="2"/>
      <w:sz w:val="18"/>
      <w:szCs w:val="18"/>
      <w:lang w:val="en-US" w:eastAsia="zh-CN" w:bidi="ar-SA"/>
    </w:rPr>
  </w:style>
  <w:style w:type="character" w:customStyle="1" w:styleId="342">
    <w:name w:val="Heading 1 Char1"/>
    <w:qFormat/>
    <w:locked/>
    <w:uiPriority w:val="0"/>
    <w:rPr>
      <w:rFonts w:eastAsia="宋体"/>
      <w:b/>
      <w:bCs/>
      <w:kern w:val="44"/>
      <w:sz w:val="44"/>
      <w:szCs w:val="44"/>
      <w:lang w:val="en-US" w:eastAsia="zh-CN" w:bidi="ar-SA"/>
    </w:rPr>
  </w:style>
  <w:style w:type="character" w:customStyle="1" w:styleId="343">
    <w:name w:val="cp"/>
    <w:basedOn w:val="51"/>
    <w:qFormat/>
    <w:uiPriority w:val="0"/>
  </w:style>
  <w:style w:type="character" w:customStyle="1" w:styleId="344">
    <w:name w:val="日期 字符"/>
    <w:qFormat/>
    <w:locked/>
    <w:uiPriority w:val="0"/>
    <w:rPr>
      <w:rFonts w:ascii="楷体_GB2312" w:eastAsia="楷体_GB2312"/>
      <w:kern w:val="2"/>
      <w:sz w:val="28"/>
      <w:lang w:val="en-US" w:eastAsia="zh-CN" w:bidi="ar-SA"/>
    </w:rPr>
  </w:style>
  <w:style w:type="character" w:customStyle="1" w:styleId="345">
    <w:name w:val="标题 4 Char"/>
    <w:qFormat/>
    <w:locked/>
    <w:uiPriority w:val="0"/>
    <w:rPr>
      <w:rFonts w:ascii="Cambria" w:hAnsi="Cambria" w:eastAsia="宋体" w:cs="黑体"/>
      <w:b/>
      <w:bCs/>
      <w:kern w:val="0"/>
      <w:sz w:val="28"/>
      <w:szCs w:val="28"/>
    </w:rPr>
  </w:style>
  <w:style w:type="character" w:customStyle="1" w:styleId="346">
    <w:name w:val="正文文本缩进 2 Char"/>
    <w:link w:val="26"/>
    <w:qFormat/>
    <w:locked/>
    <w:uiPriority w:val="0"/>
    <w:rPr>
      <w:rFonts w:eastAsia="宋体"/>
      <w:kern w:val="2"/>
      <w:sz w:val="21"/>
      <w:lang w:val="en-US" w:eastAsia="zh-CN" w:bidi="ar-SA"/>
    </w:rPr>
  </w:style>
  <w:style w:type="character" w:customStyle="1" w:styleId="347">
    <w:name w:val="页脚 Char1"/>
    <w:link w:val="28"/>
    <w:semiHidden/>
    <w:qFormat/>
    <w:uiPriority w:val="0"/>
    <w:rPr>
      <w:rFonts w:eastAsia="宋体"/>
      <w:sz w:val="18"/>
      <w:lang w:val="en-US" w:eastAsia="zh-CN" w:bidi="ar-SA"/>
    </w:rPr>
  </w:style>
  <w:style w:type="character" w:customStyle="1" w:styleId="348">
    <w:name w:val="页眉 Char"/>
    <w:qFormat/>
    <w:locked/>
    <w:uiPriority w:val="99"/>
    <w:rPr>
      <w:rFonts w:ascii="Times New Roman" w:hAnsi="Times New Roman" w:eastAsia="宋体" w:cs="Times New Roman"/>
      <w:kern w:val="0"/>
      <w:sz w:val="18"/>
      <w:szCs w:val="18"/>
    </w:rPr>
  </w:style>
  <w:style w:type="character" w:customStyle="1" w:styleId="349">
    <w:name w:val="正文文本缩进 2 Char1"/>
    <w:qFormat/>
    <w:locked/>
    <w:uiPriority w:val="0"/>
    <w:rPr>
      <w:rFonts w:ascii="Times New Roman" w:hAnsi="Times New Roman" w:eastAsia="宋体" w:cs="Times New Roman"/>
      <w:kern w:val="0"/>
      <w:sz w:val="20"/>
      <w:szCs w:val="20"/>
    </w:rPr>
  </w:style>
  <w:style w:type="character" w:customStyle="1" w:styleId="350">
    <w:name w:val="Footer Char"/>
    <w:qFormat/>
    <w:uiPriority w:val="0"/>
    <w:rPr>
      <w:rFonts w:eastAsia="宋体"/>
      <w:sz w:val="18"/>
      <w:lang w:val="en-US" w:eastAsia="zh-CN"/>
    </w:rPr>
  </w:style>
  <w:style w:type="character" w:customStyle="1" w:styleId="351">
    <w:name w:val="Char Char Char11"/>
    <w:link w:val="158"/>
    <w:qFormat/>
    <w:uiPriority w:val="0"/>
    <w:rPr>
      <w:rFonts w:ascii="Tahoma" w:hAnsi="Tahoma" w:eastAsia="宋体"/>
      <w:kern w:val="2"/>
      <w:sz w:val="24"/>
      <w:lang w:val="en-US" w:eastAsia="zh-CN" w:bidi="ar-SA"/>
    </w:rPr>
  </w:style>
  <w:style w:type="character" w:customStyle="1" w:styleId="352">
    <w:name w:val="Char Char12"/>
    <w:link w:val="257"/>
    <w:qFormat/>
    <w:uiPriority w:val="0"/>
    <w:rPr>
      <w:rFonts w:ascii="Tahoma" w:hAnsi="Tahoma" w:eastAsia="宋体"/>
      <w:kern w:val="2"/>
      <w:sz w:val="24"/>
      <w:szCs w:val="24"/>
      <w:lang w:val="en-US" w:eastAsia="zh-CN" w:bidi="ar-SA"/>
    </w:rPr>
  </w:style>
  <w:style w:type="character" w:customStyle="1" w:styleId="353">
    <w:name w:val="纯文本字符"/>
    <w:qFormat/>
    <w:uiPriority w:val="0"/>
    <w:rPr>
      <w:rFonts w:ascii="宋体" w:hAnsi="Courier New" w:eastAsia="宋体" w:cs="Courier New"/>
      <w:kern w:val="2"/>
      <w:sz w:val="21"/>
      <w:szCs w:val="21"/>
      <w:lang w:val="en-US" w:eastAsia="zh-CN" w:bidi="ar-SA"/>
    </w:rPr>
  </w:style>
  <w:style w:type="character" w:customStyle="1" w:styleId="354">
    <w:name w:val="标题 4 Char1"/>
    <w:link w:val="6"/>
    <w:qFormat/>
    <w:uiPriority w:val="0"/>
    <w:rPr>
      <w:rFonts w:ascii="宋体" w:hAnsi="Arial" w:eastAsia="宋体"/>
      <w:snapToGrid w:val="0"/>
      <w:color w:val="000000"/>
      <w:sz w:val="21"/>
      <w:lang w:val="en-US" w:eastAsia="zh-CN" w:bidi="ar-SA"/>
    </w:rPr>
  </w:style>
  <w:style w:type="character" w:customStyle="1" w:styleId="355">
    <w:name w:val="Heading 4 Char"/>
    <w:qFormat/>
    <w:locked/>
    <w:uiPriority w:val="0"/>
    <w:rPr>
      <w:rFonts w:ascii="宋体" w:hAnsi="Arial" w:eastAsia="宋体" w:cs="宋体"/>
      <w:color w:val="000000"/>
      <w:sz w:val="21"/>
      <w:lang w:val="en-US" w:eastAsia="zh-CN" w:bidi="ar-SA"/>
    </w:rPr>
  </w:style>
  <w:style w:type="character" w:customStyle="1" w:styleId="356">
    <w:name w:val="ll1"/>
    <w:qFormat/>
    <w:uiPriority w:val="0"/>
    <w:rPr>
      <w:spacing w:val="31680"/>
    </w:rPr>
  </w:style>
  <w:style w:type="character" w:customStyle="1" w:styleId="357">
    <w:name w:val="标题 7 Char"/>
    <w:link w:val="10"/>
    <w:qFormat/>
    <w:locked/>
    <w:uiPriority w:val="0"/>
    <w:rPr>
      <w:rFonts w:ascii="宋体" w:eastAsia="宋体"/>
      <w:b/>
      <w:snapToGrid w:val="0"/>
      <w:color w:val="000000"/>
      <w:sz w:val="24"/>
      <w:lang w:val="en-US" w:eastAsia="zh-CN" w:bidi="ar-SA"/>
    </w:rPr>
  </w:style>
  <w:style w:type="character" w:customStyle="1" w:styleId="358">
    <w:name w:val="标题 2 Char1"/>
    <w:link w:val="4"/>
    <w:qFormat/>
    <w:uiPriority w:val="0"/>
    <w:rPr>
      <w:rFonts w:ascii="宋体" w:hAnsi="Arial" w:eastAsia="宋体" w:cs="Arial"/>
      <w:b/>
      <w:color w:val="000000"/>
      <w:sz w:val="30"/>
      <w:szCs w:val="30"/>
      <w:lang w:val="en-US" w:eastAsia="zh-CN" w:bidi="ar-SA"/>
    </w:rPr>
  </w:style>
  <w:style w:type="character" w:customStyle="1" w:styleId="359">
    <w:name w:val="文档结构图 Char1"/>
    <w:qFormat/>
    <w:locked/>
    <w:uiPriority w:val="0"/>
    <w:rPr>
      <w:rFonts w:ascii="宋体" w:hAnsi="Times New Roman" w:eastAsia="宋体" w:cs="Times New Roman"/>
      <w:kern w:val="0"/>
      <w:sz w:val="18"/>
      <w:szCs w:val="18"/>
    </w:rPr>
  </w:style>
  <w:style w:type="character" w:customStyle="1" w:styleId="360">
    <w:name w:val="纯文本 Char"/>
    <w:qFormat/>
    <w:uiPriority w:val="0"/>
    <w:rPr>
      <w:rFonts w:ascii="宋体" w:hAnsi="Courier New" w:eastAsia="宋体"/>
      <w:kern w:val="2"/>
      <w:sz w:val="21"/>
      <w:lang w:val="en-US" w:eastAsia="zh-CN" w:bidi="ar-SA"/>
    </w:rPr>
  </w:style>
  <w:style w:type="character" w:customStyle="1" w:styleId="361">
    <w:name w:val="正文文本缩进 3 Char"/>
    <w:link w:val="37"/>
    <w:qFormat/>
    <w:locked/>
    <w:uiPriority w:val="0"/>
    <w:rPr>
      <w:rFonts w:eastAsia="宋体"/>
      <w:kern w:val="2"/>
      <w:sz w:val="21"/>
      <w:lang w:val="en-US" w:eastAsia="zh-CN" w:bidi="ar-SA"/>
    </w:rPr>
  </w:style>
  <w:style w:type="character" w:customStyle="1" w:styleId="362">
    <w:name w:val="main"/>
    <w:qFormat/>
    <w:uiPriority w:val="0"/>
  </w:style>
  <w:style w:type="character" w:customStyle="1" w:styleId="363">
    <w:name w:val="apple-converted-space"/>
    <w:qFormat/>
    <w:uiPriority w:val="0"/>
  </w:style>
  <w:style w:type="character" w:customStyle="1" w:styleId="364">
    <w:name w:val="纯文本 字符"/>
    <w:qFormat/>
    <w:uiPriority w:val="0"/>
    <w:rPr>
      <w:rFonts w:ascii="宋体" w:hAnsi="Courier New" w:eastAsia="宋体"/>
      <w:kern w:val="2"/>
      <w:sz w:val="21"/>
      <w:lang w:val="en-US" w:eastAsia="zh-CN" w:bidi="ar-SA"/>
    </w:rPr>
  </w:style>
  <w:style w:type="character" w:customStyle="1" w:styleId="365">
    <w:name w:val="Heading 1 Char"/>
    <w:qFormat/>
    <w:uiPriority w:val="0"/>
    <w:rPr>
      <w:rFonts w:eastAsia="宋体" w:cs="Times New Roman"/>
      <w:b/>
      <w:bCs/>
      <w:kern w:val="44"/>
      <w:sz w:val="44"/>
      <w:szCs w:val="44"/>
      <w:lang w:val="en-US" w:eastAsia="zh-CN" w:bidi="ar-SA"/>
    </w:rPr>
  </w:style>
  <w:style w:type="character" w:customStyle="1" w:styleId="366">
    <w:name w:val="huei12b"/>
    <w:basedOn w:val="51"/>
    <w:qFormat/>
    <w:uiPriority w:val="0"/>
  </w:style>
  <w:style w:type="character" w:customStyle="1" w:styleId="367">
    <w:name w:val="Char Char10"/>
    <w:qFormat/>
    <w:uiPriority w:val="0"/>
    <w:rPr>
      <w:rFonts w:ascii="楷体_GB2312" w:eastAsia="楷体_GB2312"/>
      <w:kern w:val="2"/>
      <w:sz w:val="28"/>
      <w:lang w:val="en-US" w:eastAsia="zh-CN" w:bidi="ar-SA"/>
    </w:rPr>
  </w:style>
  <w:style w:type="character" w:customStyle="1" w:styleId="368">
    <w:name w:val="正文文本 3 Char"/>
    <w:link w:val="18"/>
    <w:qFormat/>
    <w:locked/>
    <w:uiPriority w:val="0"/>
    <w:rPr>
      <w:rFonts w:eastAsia="宋体"/>
      <w:sz w:val="16"/>
      <w:szCs w:val="16"/>
      <w:lang w:val="en-US" w:eastAsia="zh-CN" w:bidi="ar-SA"/>
    </w:rPr>
  </w:style>
  <w:style w:type="character" w:customStyle="1" w:styleId="369">
    <w:name w:val="正文文本 Char"/>
    <w:link w:val="2"/>
    <w:qFormat/>
    <w:locked/>
    <w:uiPriority w:val="0"/>
    <w:rPr>
      <w:rFonts w:eastAsia="宋体"/>
      <w:kern w:val="2"/>
      <w:sz w:val="28"/>
      <w:lang w:val="en-US" w:eastAsia="zh-CN" w:bidi="ar-SA"/>
    </w:rPr>
  </w:style>
  <w:style w:type="character" w:customStyle="1" w:styleId="370">
    <w:name w:val="ww-light ww-large"/>
    <w:qFormat/>
    <w:uiPriority w:val="0"/>
    <w:rPr>
      <w:rFonts w:cs="Times New Roman"/>
    </w:rPr>
  </w:style>
  <w:style w:type="character" w:customStyle="1" w:styleId="371">
    <w:name w:val="p141"/>
    <w:qFormat/>
    <w:uiPriority w:val="0"/>
    <w:rPr>
      <w:sz w:val="21"/>
    </w:rPr>
  </w:style>
  <w:style w:type="character" w:customStyle="1" w:styleId="372">
    <w:name w:val="标题 1 Char"/>
    <w:link w:val="3"/>
    <w:qFormat/>
    <w:uiPriority w:val="0"/>
    <w:rPr>
      <w:rFonts w:ascii="宋体" w:hAnsi="宋体" w:eastAsia="宋体"/>
      <w:b/>
      <w:kern w:val="44"/>
      <w:sz w:val="24"/>
      <w:lang w:val="en-US" w:eastAsia="zh-CN" w:bidi="ar-SA"/>
    </w:rPr>
  </w:style>
  <w:style w:type="character" w:customStyle="1" w:styleId="373">
    <w:name w:val="Char Char3"/>
    <w:qFormat/>
    <w:uiPriority w:val="0"/>
    <w:rPr>
      <w:rFonts w:eastAsia="宋体"/>
      <w:sz w:val="21"/>
      <w:lang w:val="en-US" w:eastAsia="zh-CN" w:bidi="ar-SA"/>
    </w:rPr>
  </w:style>
  <w:style w:type="character" w:customStyle="1" w:styleId="374">
    <w:name w:val="Default Char"/>
    <w:link w:val="258"/>
    <w:qFormat/>
    <w:locked/>
    <w:uiPriority w:val="0"/>
    <w:rPr>
      <w:rFonts w:ascii="Arial" w:hAnsi="Arial" w:cs="Arial"/>
      <w:color w:val="000000"/>
      <w:sz w:val="24"/>
      <w:szCs w:val="24"/>
      <w:lang w:val="en-US" w:eastAsia="zh-CN" w:bidi="ar-SA"/>
    </w:rPr>
  </w:style>
  <w:style w:type="character" w:customStyle="1" w:styleId="375">
    <w:name w:val="标题 Char1"/>
    <w:link w:val="43"/>
    <w:qFormat/>
    <w:locked/>
    <w:uiPriority w:val="0"/>
    <w:rPr>
      <w:rFonts w:ascii="Arial" w:hAnsi="Arial" w:eastAsia="宋体" w:cs="Arial"/>
      <w:b/>
      <w:bCs/>
      <w:kern w:val="2"/>
      <w:sz w:val="32"/>
      <w:szCs w:val="32"/>
      <w:lang w:val="en-US" w:eastAsia="zh-CN" w:bidi="ar-SA"/>
    </w:rPr>
  </w:style>
  <w:style w:type="character" w:customStyle="1" w:styleId="376">
    <w:name w:val="批注文字 Char1"/>
    <w:qFormat/>
    <w:uiPriority w:val="0"/>
    <w:rPr>
      <w:rFonts w:cs="Times New Roman"/>
      <w:kern w:val="2"/>
      <w:sz w:val="24"/>
      <w:szCs w:val="24"/>
    </w:rPr>
  </w:style>
  <w:style w:type="character" w:customStyle="1" w:styleId="377">
    <w:name w:val="Heading 3 Char1"/>
    <w:qFormat/>
    <w:locked/>
    <w:uiPriority w:val="0"/>
    <w:rPr>
      <w:rFonts w:ascii="宋体" w:eastAsia="宋体" w:cs="宋体"/>
      <w:sz w:val="21"/>
      <w:lang w:val="en-US" w:eastAsia="zh-CN" w:bidi="ar-SA"/>
    </w:rPr>
  </w:style>
  <w:style w:type="character" w:customStyle="1" w:styleId="378">
    <w:name w:val="Char Char2"/>
    <w:qFormat/>
    <w:uiPriority w:val="0"/>
    <w:rPr>
      <w:rFonts w:ascii="宋体" w:hAnsi="Courier New" w:eastAsia="宋体"/>
      <w:kern w:val="2"/>
      <w:sz w:val="21"/>
      <w:lang w:val="en-US" w:eastAsia="zh-CN" w:bidi="ar-SA"/>
    </w:rPr>
  </w:style>
  <w:style w:type="character" w:customStyle="1" w:styleId="379">
    <w:name w:val="f121"/>
    <w:qFormat/>
    <w:uiPriority w:val="0"/>
    <w:rPr>
      <w:rFonts w:hint="default" w:ascii="ˎ̥" w:hAnsi="ˎ̥"/>
      <w:sz w:val="18"/>
      <w:szCs w:val="18"/>
    </w:rPr>
  </w:style>
  <w:style w:type="character" w:customStyle="1" w:styleId="380">
    <w:name w:val="Char Char11"/>
    <w:qFormat/>
    <w:uiPriority w:val="0"/>
    <w:rPr>
      <w:rFonts w:ascii="Times New Roman" w:hAnsi="Times New Roman" w:eastAsia="宋体" w:cs="Times New Roman"/>
      <w:kern w:val="0"/>
      <w:sz w:val="21"/>
      <w:szCs w:val="21"/>
    </w:rPr>
  </w:style>
  <w:style w:type="character" w:customStyle="1" w:styleId="381">
    <w:name w:val="表格名称 Char"/>
    <w:link w:val="269"/>
    <w:qFormat/>
    <w:uiPriority w:val="0"/>
    <w:rPr>
      <w:rFonts w:ascii="宋体" w:hAnsi="宋体"/>
      <w:b/>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5302</Words>
  <Characters>30228</Characters>
  <Lines>251</Lines>
  <Paragraphs>70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2017-12-14T00:53:00Z</dcterms:created>
  <dc:creator>微软（中国）有限公司</dc:creator>
  <cp:lastModifiedBy>“东”141319</cp:lastModifiedBy>
  <cp:lastPrinted>2020-04-18T08:16:00Z</cp:lastPrinted>
  <dcterms:modified xsi:type="dcterms:W3CDTF">2020-04-20T02:23:06Z</dcterms:modified>
  <dc:title>第一部分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